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4bis</w:t>
      </w:r>
      <w:r>
        <w:rPr>
          <w:rFonts w:ascii="Arial" w:hAnsi="Arial" w:cs="Arial"/>
          <w:b/>
          <w:sz w:val="24"/>
          <w:szCs w:val="24"/>
        </w:rPr>
        <w:t>-e</w:t>
      </w:r>
      <w:r>
        <w:rPr>
          <w:rFonts w:hint="eastAsia" w:ascii="Arial" w:hAnsi="Arial" w:cs="Arial"/>
          <w:b/>
          <w:sz w:val="24"/>
          <w:szCs w:val="24"/>
          <w:highlight w:val="none"/>
        </w:rPr>
        <w:t xml:space="preserve">                               R4-2216556</w:t>
      </w:r>
      <w:bookmarkStart w:id="10" w:name="_GoBack"/>
      <w:bookmarkEnd w:id="10"/>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0</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lang w:val="en-US" w:eastAsia="zh-CN"/>
        </w:rPr>
        <w:t>6</w:t>
      </w:r>
      <w:r>
        <w:rPr>
          <w:rFonts w:ascii="Arial" w:hAnsi="Arial" w:eastAsia="Batang"/>
          <w:b/>
          <w:lang w:eastAsia="zh-CN"/>
        </w:rPr>
        <w:t>.</w:t>
      </w:r>
      <w:r>
        <w:rPr>
          <w:rFonts w:hint="eastAsia" w:ascii="Arial" w:hAnsi="Arial" w:eastAsia="Batang"/>
          <w:b/>
          <w:lang w:val="en-US" w:eastAsia="zh-CN"/>
        </w:rPr>
        <w:t>22</w:t>
      </w:r>
      <w:r>
        <w:rPr>
          <w:rFonts w:ascii="Arial" w:hAnsi="Arial" w:eastAsia="Batang"/>
          <w:b/>
          <w:lang w:eastAsia="zh-CN"/>
        </w:rPr>
        <w:t>.</w:t>
      </w:r>
      <w:r>
        <w:rPr>
          <w:rFonts w:hint="eastAsia" w:ascii="Arial" w:hAnsi="Arial" w:eastAsia="Batang"/>
          <w:b/>
          <w:lang w:val="en-US" w:eastAsia="zh-CN"/>
        </w:rPr>
        <w:t>1.1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 xml:space="preserve">system parameter for NTN in Ka band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eastAsia="宋体"/>
          <w:lang w:val="en-US" w:eastAsia="zh-CN"/>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In this contribution, we want to share some initial views from the coexistence study for NTN in Ka-band.</w:t>
      </w:r>
    </w:p>
    <w:p>
      <w:pPr>
        <w:spacing w:after="0"/>
        <w:rPr>
          <w:bCs/>
        </w:rPr>
      </w:pPr>
      <w:bookmarkStart w:id="1" w:name="OLE_LINK35"/>
      <w:r>
        <w:rPr>
          <w:bCs/>
        </w:rPr>
        <w:t>The following covers the objectives for NR-NTN deployment in above 10 GHz bands. This work is expected to start after June 2022.</w:t>
      </w:r>
    </w:p>
    <w:p>
      <w:pPr>
        <w:numPr>
          <w:ilvl w:val="0"/>
          <w:numId w:val="2"/>
        </w:numPr>
        <w:spacing w:after="0"/>
        <w:rPr>
          <w:bCs/>
        </w:rPr>
      </w:pPr>
      <w:r>
        <w:rPr>
          <w:bCs/>
        </w:rPr>
        <w:t>Study and identify NTN example band: Analysis of regulations and adjacent channel co-existence scenarios. The example band shall be identified early in the WI. Additional bands can be introduced in a release-independent manner. [RAN4]</w:t>
      </w:r>
    </w:p>
    <w:p>
      <w:pPr>
        <w:numPr>
          <w:ilvl w:val="1"/>
          <w:numId w:val="2"/>
        </w:numPr>
        <w:spacing w:after="0"/>
        <w:rPr>
          <w:bCs/>
        </w:rPr>
      </w:pPr>
      <w:r>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pPr>
        <w:numPr>
          <w:ilvl w:val="1"/>
          <w:numId w:val="2"/>
        </w:numPr>
        <w:spacing w:after="0"/>
        <w:rPr>
          <w:bCs/>
        </w:rPr>
      </w:pPr>
      <w:r>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pPr>
        <w:numPr>
          <w:ilvl w:val="1"/>
          <w:numId w:val="2"/>
        </w:numPr>
        <w:spacing w:after="0"/>
        <w:rPr>
          <w:bCs/>
        </w:rPr>
      </w:pPr>
      <w:r>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2" w:name="_Hlk90540445"/>
      <w:r>
        <w:rPr>
          <w:bCs/>
        </w:rPr>
        <w:t>. The outcome is expected to be applicable to all NTN-TN adjacent band scenarios (if any) in the whole Ka band range where applicable and regulations allow.</w:t>
      </w:r>
      <w:bookmarkEnd w:id="2"/>
      <w:r>
        <w:rPr>
          <w:bCs/>
        </w:rPr>
        <w:t xml:space="preserve"> [RAN4]</w:t>
      </w:r>
    </w:p>
    <w:p>
      <w:pPr>
        <w:numPr>
          <w:ilvl w:val="1"/>
          <w:numId w:val="2"/>
        </w:numPr>
        <w:spacing w:after="0"/>
        <w:rPr>
          <w:bCs/>
        </w:rPr>
      </w:pPr>
      <w:r>
        <w:rPr>
          <w:bCs/>
        </w:rPr>
        <w:t>For all the above, RAN4 process as agreed for NTN in FR1 should be used for coexistence analysis in above 10 GHz bands [RAN4].</w:t>
      </w:r>
    </w:p>
    <w:p>
      <w:pPr>
        <w:widowControl/>
        <w:numPr>
          <w:ilvl w:val="1"/>
          <w:numId w:val="2"/>
        </w:numPr>
        <w:overflowPunct/>
        <w:autoSpaceDE/>
        <w:autoSpaceDN/>
        <w:adjustRightInd/>
        <w:spacing w:after="0"/>
        <w:jc w:val="left"/>
        <w:textAlignment w:val="auto"/>
      </w:pPr>
      <w:r>
        <w:rPr>
          <w:bCs/>
        </w:rPr>
        <w:t xml:space="preserve">Definition of NTN band(s) above 10 GHz does not change the current FR1/FR2 definition, nor automatically apply to future terrestrial bands defined in this frequency region; (see proposal 2 of the approved way forward </w:t>
      </w:r>
      <w:bookmarkStart w:id="3" w:name="_Hlk89787333"/>
      <w:r>
        <w:rPr>
          <w:bCs/>
        </w:rPr>
        <w:t xml:space="preserve">RP-211596 </w:t>
      </w:r>
      <w:bookmarkEnd w:id="3"/>
      <w:r>
        <w:rPr>
          <w:bCs/>
        </w:rPr>
        <w:t>in RAN#92-e) [RAN4]</w:t>
      </w:r>
    </w:p>
    <w:bookmarkEnd w:id="1"/>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4" w:name="OLE_LINK10"/>
      <w:bookmarkStart w:id="5" w:name="OLE_LINK20"/>
      <w:bookmarkStart w:id="6" w:name="OLE_LINK13"/>
      <w:bookmarkStart w:id="7" w:name="OLE_LINK14"/>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 xml:space="preserve">2.1. </w:t>
      </w:r>
      <w:r>
        <w:rPr>
          <w:rFonts w:hint="default" w:ascii="Arial" w:hAnsi="Arial" w:cs="Arial"/>
          <w:sz w:val="28"/>
          <w:szCs w:val="28"/>
          <w:lang w:val="en-US" w:eastAsia="zh-CN"/>
        </w:rPr>
        <w:t>Operating bands</w:t>
      </w:r>
      <w:r>
        <w:rPr>
          <w:rFonts w:hint="eastAsia" w:ascii="Arial" w:hAnsi="Arial" w:cs="Arial"/>
          <w:sz w:val="28"/>
          <w:szCs w:val="28"/>
          <w:lang w:val="en-US" w:eastAsia="zh-CN"/>
        </w:rPr>
        <w:t xml:space="preserve"> and band numbering</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val="0"/>
          <w:bCs w:val="0"/>
          <w:i w:val="0"/>
          <w:iCs w:val="0"/>
          <w:lang w:val="en-US" w:eastAsia="zh-CN"/>
        </w:rPr>
      </w:pPr>
      <w:r>
        <w:rPr>
          <w:rFonts w:hint="eastAsia"/>
          <w:b w:val="0"/>
          <w:bCs w:val="0"/>
          <w:i w:val="0"/>
          <w:iCs w:val="0"/>
          <w:lang w:val="en-US" w:eastAsia="zh-CN"/>
        </w:rPr>
        <w:t>In the previous RAN-P discussions, there were lots of debates on the definition of Ka band for NTN. From my understanding, note 2 in the approved way forward RP-211596 could be good starting point. If there are any further updates in the coming RAN-P meeting or we reached the consensus in RAN4 if possible, then the frequency range of Ka-band for NTN could be further updated.in this release.</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pPr>
      <w:r>
        <w:drawing>
          <wp:inline distT="0" distB="0" distL="114300" distR="114300">
            <wp:extent cx="6182995" cy="2471420"/>
            <wp:effectExtent l="0" t="0" r="8255" b="50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6182995" cy="247142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lang w:val="en-US" w:eastAsia="zh-CN"/>
        </w:rPr>
      </w:pPr>
      <w:r>
        <w:rPr>
          <w:rFonts w:hint="eastAsia"/>
          <w:lang w:val="en-US" w:eastAsia="zh-CN"/>
        </w:rPr>
        <w:t>In addition, regarding the band numbering for NTN Ka-band, just to simplify the discussions for Ka-band in Rel-18, we think that the same approach as Rel-17 NTN approach could be adopted which means Ka band are numbered from the highest value of FR2 bands. Based on the current RAN2 NR band signalling design in TS 38.331, the highest value should be 1024 for FR2 bands.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lang w:val="en-US" w:eastAsia="zh-CN"/>
        </w:rPr>
      </w:pPr>
      <w:r>
        <w:rPr>
          <w:rFonts w:hint="default"/>
          <w:lang w:val="en-US" w:eastAsia="zh-CN"/>
        </w:rPr>
        <w:t>FreqBandIndicatorNR ::= INTEGER (1..1024)</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lang w:val="en-US" w:eastAsia="zh-CN"/>
        </w:rPr>
      </w:pPr>
      <w:r>
        <w:rPr>
          <w:rFonts w:hint="eastAsia"/>
          <w:lang w:val="en-US" w:eastAsia="zh-CN"/>
        </w:rPr>
        <w:t>Based on the above considerations, we make the following proposal for NTN Ka-band.</w:t>
      </w:r>
    </w:p>
    <w:p>
      <w:pPr>
        <w:keepNext/>
        <w:keepLines/>
        <w:pageBreakBefore w:val="0"/>
        <w:widowControl/>
        <w:suppressLineNumbers w:val="0"/>
        <w:kinsoku/>
        <w:wordWrap/>
        <w:topLinePunct w:val="0"/>
        <w:bidi w:val="0"/>
        <w:ind w:firstLine="420" w:firstLineChars="0"/>
        <w:jc w:val="center"/>
        <w:rPr>
          <w:rFonts w:hint="default"/>
          <w:b/>
          <w:bCs/>
          <w:i w:val="0"/>
          <w:iCs w:val="0"/>
          <w:u w:val="single"/>
          <w:lang w:val="en-US" w:eastAsia="zh-CN"/>
        </w:rPr>
      </w:pPr>
      <w:r>
        <w:rPr>
          <w:rFonts w:hint="eastAsia"/>
          <w:b/>
          <w:bCs/>
          <w:i w:val="0"/>
          <w:iCs w:val="0"/>
          <w:u w:val="single"/>
          <w:lang w:val="en-US" w:eastAsia="zh-CN"/>
        </w:rPr>
        <w:t>Table 2.1-1. Frequency range for NTN Ka band</w:t>
      </w:r>
    </w:p>
    <w:tbl>
      <w:tblPr>
        <w:tblStyle w:val="24"/>
        <w:tblW w:w="7650" w:type="dxa"/>
        <w:jc w:val="center"/>
        <w:tblLayout w:type="fixed"/>
        <w:tblCellMar>
          <w:top w:w="0" w:type="dxa"/>
          <w:left w:w="28" w:type="dxa"/>
          <w:bottom w:w="0" w:type="dxa"/>
          <w:right w:w="108" w:type="dxa"/>
        </w:tblCellMar>
      </w:tblPr>
      <w:tblGrid>
        <w:gridCol w:w="1068"/>
        <w:gridCol w:w="1226"/>
        <w:gridCol w:w="517"/>
        <w:gridCol w:w="1174"/>
        <w:gridCol w:w="1242"/>
        <w:gridCol w:w="317"/>
        <w:gridCol w:w="1200"/>
        <w:gridCol w:w="906"/>
      </w:tblGrid>
      <w:tr>
        <w:tblPrEx>
          <w:tblCellMar>
            <w:top w:w="0" w:type="dxa"/>
            <w:left w:w="28" w:type="dxa"/>
            <w:bottom w:w="0" w:type="dxa"/>
            <w:right w:w="108" w:type="dxa"/>
          </w:tblCellMar>
        </w:tblPrEx>
        <w:trPr>
          <w:jc w:val="center"/>
        </w:trPr>
        <w:tc>
          <w:tcPr>
            <w:tcW w:w="1068" w:type="dxa"/>
            <w:vMerge w:val="restart"/>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Operating Band</w:t>
            </w:r>
          </w:p>
        </w:tc>
        <w:tc>
          <w:tcPr>
            <w:tcW w:w="2917"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59" w:type="dxa"/>
            <w:gridSpan w:val="3"/>
            <w:tcBorders>
              <w:top w:val="single" w:color="auto" w:sz="4" w:space="0"/>
              <w:left w:val="nil"/>
              <w:bottom w:val="single" w:color="auto" w:sz="4" w:space="0"/>
              <w:right w:val="single" w:color="auto" w:sz="4" w:space="0"/>
            </w:tcBorders>
            <w:vAlign w:val="center"/>
          </w:tcPr>
          <w:p>
            <w:pPr>
              <w:pStyle w:val="35"/>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Duplex Mode</w:t>
            </w:r>
          </w:p>
        </w:tc>
      </w:tr>
      <w:tr>
        <w:tblPrEx>
          <w:tblCellMar>
            <w:top w:w="0" w:type="dxa"/>
            <w:left w:w="28" w:type="dxa"/>
            <w:bottom w:w="0" w:type="dxa"/>
            <w:right w:w="108" w:type="dxa"/>
          </w:tblCellMar>
        </w:tblPrEx>
        <w:trPr>
          <w:jc w:val="center"/>
        </w:trPr>
        <w:tc>
          <w:tcPr>
            <w:tcW w:w="10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c>
          <w:tcPr>
            <w:tcW w:w="2917"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color="auto" w:sz="4" w:space="0"/>
              <w:left w:val="nil"/>
              <w:bottom w:val="single" w:color="auto" w:sz="4" w:space="0"/>
              <w:right w:val="single" w:color="auto" w:sz="4" w:space="0"/>
            </w:tcBorders>
            <w:vAlign w:val="center"/>
          </w:tcPr>
          <w:p>
            <w:pPr>
              <w:pStyle w:val="35"/>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r>
      <w:tr>
        <w:tblPrEx>
          <w:tblCellMar>
            <w:top w:w="0" w:type="dxa"/>
            <w:left w:w="2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36"/>
              <w:rPr>
                <w:rFonts w:hint="default" w:eastAsia="宋体" w:cs="Arial"/>
                <w:color w:val="0000FF"/>
                <w:lang w:val="en-US" w:eastAsia="zh-CN"/>
              </w:rPr>
            </w:pPr>
            <w:r>
              <w:rPr>
                <w:rFonts w:hint="eastAsia" w:cs="Arial"/>
                <w:color w:val="0000FF"/>
                <w:lang w:val="en-US" w:eastAsia="zh-CN"/>
              </w:rPr>
              <w:t>[n1024]</w:t>
            </w:r>
          </w:p>
        </w:tc>
        <w:tc>
          <w:tcPr>
            <w:tcW w:w="1226" w:type="dxa"/>
            <w:tcBorders>
              <w:top w:val="single" w:color="auto" w:sz="4" w:space="0"/>
              <w:left w:val="single" w:color="auto" w:sz="4" w:space="0"/>
              <w:bottom w:val="single" w:color="auto" w:sz="4" w:space="0"/>
              <w:right w:val="nil"/>
            </w:tcBorders>
            <w:vAlign w:val="center"/>
          </w:tcPr>
          <w:p>
            <w:pPr>
              <w:pStyle w:val="95"/>
              <w:rPr>
                <w:rFonts w:cs="Arial"/>
                <w:color w:val="0000FF"/>
              </w:rPr>
            </w:pPr>
            <w:r>
              <w:rPr>
                <w:rFonts w:hint="eastAsia" w:cs="Arial"/>
                <w:color w:val="0000FF"/>
                <w:lang w:val="en-US" w:eastAsia="zh-CN"/>
              </w:rPr>
              <w:t>[27500</w:t>
            </w:r>
            <w:r>
              <w:rPr>
                <w:rFonts w:cs="Arial"/>
                <w:color w:val="0000FF"/>
              </w:rPr>
              <w:t xml:space="preserve"> MHz</w:t>
            </w:r>
          </w:p>
        </w:tc>
        <w:tc>
          <w:tcPr>
            <w:tcW w:w="517" w:type="dxa"/>
            <w:tcBorders>
              <w:top w:val="single" w:color="auto" w:sz="4" w:space="0"/>
              <w:left w:val="nil"/>
              <w:bottom w:val="single" w:color="auto" w:sz="4" w:space="0"/>
              <w:right w:val="nil"/>
            </w:tcBorders>
          </w:tcPr>
          <w:p>
            <w:pPr>
              <w:pStyle w:val="36"/>
              <w:rPr>
                <w:rFonts w:cs="Arial"/>
                <w:color w:val="0000FF"/>
              </w:rPr>
            </w:pPr>
            <w:r>
              <w:rPr>
                <w:rFonts w:cs="Arial"/>
                <w:color w:val="0000FF"/>
              </w:rPr>
              <w:t>–</w:t>
            </w:r>
          </w:p>
        </w:tc>
        <w:tc>
          <w:tcPr>
            <w:tcW w:w="1174" w:type="dxa"/>
            <w:tcBorders>
              <w:top w:val="single" w:color="auto" w:sz="4" w:space="0"/>
              <w:left w:val="nil"/>
              <w:bottom w:val="single" w:color="auto" w:sz="4" w:space="0"/>
              <w:right w:val="single" w:color="auto" w:sz="4" w:space="0"/>
            </w:tcBorders>
            <w:vAlign w:val="center"/>
          </w:tcPr>
          <w:p>
            <w:pPr>
              <w:pStyle w:val="37"/>
              <w:rPr>
                <w:rFonts w:cs="Arial"/>
                <w:color w:val="0000FF"/>
              </w:rPr>
            </w:pPr>
            <w:r>
              <w:rPr>
                <w:rFonts w:hint="eastAsia" w:cs="Arial"/>
                <w:color w:val="0000FF"/>
                <w:lang w:val="en-US" w:eastAsia="zh-CN"/>
              </w:rPr>
              <w:t>30000</w:t>
            </w:r>
            <w:r>
              <w:rPr>
                <w:rFonts w:cs="Arial"/>
                <w:color w:val="0000FF"/>
              </w:rPr>
              <w:t xml:space="preserve"> MHz</w:t>
            </w:r>
            <w:r>
              <w:rPr>
                <w:rFonts w:hint="eastAsia" w:cs="Arial"/>
                <w:color w:val="0000FF"/>
                <w:lang w:val="en-US" w:eastAsia="zh-CN"/>
              </w:rPr>
              <w:t>]</w:t>
            </w:r>
            <w:r>
              <w:rPr>
                <w:rFonts w:cs="Arial"/>
                <w:color w:val="0000FF"/>
              </w:rPr>
              <w:t xml:space="preserve"> </w:t>
            </w:r>
          </w:p>
        </w:tc>
        <w:tc>
          <w:tcPr>
            <w:tcW w:w="1242" w:type="dxa"/>
            <w:tcBorders>
              <w:top w:val="single" w:color="auto" w:sz="4" w:space="0"/>
              <w:left w:val="nil"/>
              <w:bottom w:val="single" w:color="auto" w:sz="4" w:space="0"/>
              <w:right w:val="nil"/>
            </w:tcBorders>
            <w:vAlign w:val="center"/>
          </w:tcPr>
          <w:p>
            <w:pPr>
              <w:pStyle w:val="95"/>
              <w:rPr>
                <w:rFonts w:cs="Arial"/>
                <w:color w:val="0000FF"/>
              </w:rPr>
            </w:pPr>
            <w:r>
              <w:rPr>
                <w:rFonts w:hint="eastAsia" w:cs="Arial"/>
                <w:color w:val="0000FF"/>
                <w:lang w:val="en-US" w:eastAsia="zh-CN"/>
              </w:rPr>
              <w:t>[17700</w:t>
            </w:r>
            <w:r>
              <w:rPr>
                <w:rFonts w:cs="Arial"/>
                <w:color w:val="0000FF"/>
              </w:rPr>
              <w:t>MHz</w:t>
            </w:r>
          </w:p>
        </w:tc>
        <w:tc>
          <w:tcPr>
            <w:tcW w:w="317" w:type="dxa"/>
            <w:tcBorders>
              <w:top w:val="single" w:color="auto" w:sz="4" w:space="0"/>
              <w:left w:val="nil"/>
              <w:bottom w:val="single" w:color="auto" w:sz="4" w:space="0"/>
              <w:right w:val="nil"/>
            </w:tcBorders>
          </w:tcPr>
          <w:p>
            <w:pPr>
              <w:pStyle w:val="36"/>
              <w:rPr>
                <w:rFonts w:cs="Arial"/>
                <w:color w:val="0000FF"/>
              </w:rPr>
            </w:pPr>
            <w:r>
              <w:rPr>
                <w:rFonts w:cs="Arial"/>
                <w:color w:val="0000FF"/>
              </w:rPr>
              <w:t>–</w:t>
            </w:r>
          </w:p>
        </w:tc>
        <w:tc>
          <w:tcPr>
            <w:tcW w:w="1200" w:type="dxa"/>
            <w:tcBorders>
              <w:top w:val="single" w:color="auto" w:sz="4" w:space="0"/>
              <w:left w:val="nil"/>
              <w:bottom w:val="single" w:color="auto" w:sz="4" w:space="0"/>
              <w:right w:val="single" w:color="auto" w:sz="4" w:space="0"/>
            </w:tcBorders>
            <w:vAlign w:val="center"/>
          </w:tcPr>
          <w:p>
            <w:pPr>
              <w:pStyle w:val="37"/>
              <w:rPr>
                <w:rFonts w:hint="eastAsia" w:eastAsia="宋体" w:cs="Arial"/>
                <w:color w:val="0000FF"/>
                <w:lang w:val="en-US" w:eastAsia="zh-CN"/>
              </w:rPr>
            </w:pPr>
            <w:r>
              <w:rPr>
                <w:rFonts w:hint="eastAsia" w:cs="Arial"/>
                <w:color w:val="0000FF"/>
                <w:lang w:val="en-US" w:eastAsia="zh-CN"/>
              </w:rPr>
              <w:t>20200</w:t>
            </w:r>
            <w:r>
              <w:rPr>
                <w:rFonts w:cs="Arial"/>
                <w:color w:val="0000FF"/>
              </w:rPr>
              <w:t xml:space="preserve"> MHz</w:t>
            </w:r>
            <w:r>
              <w:rPr>
                <w:rFonts w:hint="eastAsia" w:cs="Arial"/>
                <w:color w:val="0000FF"/>
                <w:lang w:val="en-US" w:eastAsia="zh-CN"/>
              </w:rPr>
              <w:t>]</w:t>
            </w:r>
          </w:p>
        </w:tc>
        <w:tc>
          <w:tcPr>
            <w:tcW w:w="906" w:type="dxa"/>
            <w:tcBorders>
              <w:top w:val="single" w:color="auto" w:sz="4" w:space="0"/>
              <w:left w:val="single" w:color="auto" w:sz="4" w:space="0"/>
              <w:bottom w:val="single" w:color="auto" w:sz="4" w:space="0"/>
              <w:right w:val="single" w:color="auto" w:sz="4" w:space="0"/>
            </w:tcBorders>
          </w:tcPr>
          <w:p>
            <w:pPr>
              <w:pStyle w:val="36"/>
              <w:rPr>
                <w:rFonts w:cs="Arial"/>
                <w:color w:val="0000FF"/>
              </w:rPr>
            </w:pPr>
            <w:r>
              <w:rPr>
                <w:rFonts w:cs="Arial"/>
                <w:color w:val="0000FF"/>
              </w:rPr>
              <w:t>FDD</w:t>
            </w:r>
          </w:p>
        </w:tc>
      </w:tr>
    </w:tbl>
    <w:p>
      <w:pPr>
        <w:keepNext/>
        <w:keepLines/>
        <w:pageBreakBefore w:val="0"/>
        <w:widowControl/>
        <w:suppressLineNumbers w:val="0"/>
        <w:kinsoku/>
        <w:wordWrap/>
        <w:topLinePunct w:val="0"/>
        <w:bidi w:val="0"/>
        <w:ind w:firstLine="420" w:firstLineChars="0"/>
        <w:jc w:val="center"/>
        <w:rPr>
          <w:rFonts w:hint="eastAsia"/>
          <w:b/>
          <w:bCs/>
          <w:i w:val="0"/>
          <w:iCs w:val="0"/>
          <w:u w:val="single"/>
          <w:lang w:val="en-US" w:eastAsia="zh-CN"/>
        </w:rPr>
      </w:pPr>
    </w:p>
    <w:p>
      <w:pPr>
        <w:autoSpaceDE/>
        <w:autoSpaceDN/>
        <w:adjustRightInd/>
        <w:snapToGrid/>
        <w:spacing w:before="0" w:beforeLines="-2147483648" w:after="0" w:afterLines="-2147483648" w:line="240" w:lineRule="auto"/>
        <w:jc w:val="left"/>
        <w:rPr>
          <w:rFonts w:hint="default" w:cs="Times New Roman"/>
          <w:sz w:val="20"/>
          <w:szCs w:val="20"/>
          <w:lang w:val="en-US" w:eastAsia="zh-CN"/>
        </w:rPr>
      </w:pPr>
      <w:r>
        <w:rPr>
          <w:rFonts w:hint="eastAsia" w:cs="Times New Roman"/>
          <w:b/>
          <w:bCs/>
          <w:sz w:val="20"/>
          <w:szCs w:val="20"/>
          <w:lang w:val="en-US" w:eastAsia="zh-CN"/>
        </w:rPr>
        <w:t>Proposal 1</w:t>
      </w:r>
      <w:r>
        <w:rPr>
          <w:rFonts w:hint="eastAsia" w:cs="Times New Roman"/>
          <w:sz w:val="20"/>
          <w:szCs w:val="20"/>
          <w:lang w:val="en-US" w:eastAsia="zh-CN"/>
        </w:rPr>
        <w:t>: to define the band in Table 2.1-1 for NTN Ka-band as starting point.</w:t>
      </w:r>
    </w:p>
    <w:p>
      <w:pPr>
        <w:keepNext/>
        <w:keepLines/>
        <w:pageBreakBefore w:val="0"/>
        <w:widowControl/>
        <w:suppressLineNumbers w:val="0"/>
        <w:kinsoku/>
        <w:wordWrap/>
        <w:topLinePunct w:val="0"/>
        <w:bidi w:val="0"/>
        <w:ind w:firstLine="420" w:firstLineChars="0"/>
        <w:jc w:val="center"/>
        <w:rPr>
          <w:rFonts w:hint="eastAsia"/>
          <w:b/>
          <w:bCs/>
          <w:i w:val="0"/>
          <w:iCs w:val="0"/>
          <w:u w:val="single"/>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Channel bandwidth</w:t>
      </w:r>
    </w:p>
    <w:p>
      <w:pPr>
        <w:keepNext w:val="0"/>
        <w:keepLines w:val="0"/>
        <w:pageBreakBefore w:val="0"/>
        <w:widowControl w:val="0"/>
        <w:suppressLineNumbers w:val="0"/>
        <w:kinsoku/>
        <w:wordWrap/>
        <w:topLinePunct w:val="0"/>
        <w:bidi w:val="0"/>
        <w:spacing w:before="120" w:beforeLines="0" w:after="120" w:afterLines="0"/>
        <w:ind w:firstLine="0" w:firstLineChars="0"/>
        <w:jc w:val="left"/>
        <w:rPr>
          <w:rFonts w:hint="default"/>
          <w:b w:val="0"/>
          <w:bCs w:val="0"/>
          <w:i w:val="0"/>
          <w:iCs w:val="0"/>
          <w:lang w:val="en-US" w:eastAsia="zh-CN"/>
        </w:rPr>
      </w:pPr>
      <w:r>
        <w:rPr>
          <w:rFonts w:hint="eastAsia"/>
          <w:b w:val="0"/>
          <w:bCs w:val="0"/>
          <w:i w:val="0"/>
          <w:iCs w:val="0"/>
          <w:lang w:val="en-US" w:eastAsia="zh-CN"/>
        </w:rPr>
        <w:t>For the supported channel bandwidth for NTN in Ka-band,</w:t>
      </w:r>
      <w:r>
        <w:rPr>
          <w:rFonts w:hint="eastAsia" w:eastAsia="宋体"/>
          <w:lang w:val="en-US" w:eastAsia="zh-CN"/>
        </w:rPr>
        <w:t xml:space="preserve"> according to Table 6.1.1.1-5 and Table 6.1.3.2-1 of 38.821</w:t>
      </w:r>
      <w:r>
        <w:rPr>
          <w:rFonts w:hint="eastAsia"/>
          <w:lang w:val="en-US" w:eastAsia="zh-CN"/>
        </w:rPr>
        <w:t>, maximum</w:t>
      </w:r>
      <w:r>
        <w:rPr>
          <w:rFonts w:hint="eastAsia" w:eastAsia="宋体"/>
          <w:lang w:val="en-US" w:eastAsia="zh-CN"/>
        </w:rPr>
        <w:t xml:space="preserve"> BW per beam is 400MHz for Ka-band</w:t>
      </w:r>
      <w:r>
        <w:rPr>
          <w:rFonts w:hint="eastAsia"/>
          <w:lang w:val="en-US" w:eastAsia="zh-CN"/>
        </w:rPr>
        <w:t>. In addition, Ka-band in UL part is also somehow largely overlapping with TN band n257, therefore it should be also reasonable to reuse the same channel bandwidth of n257 for NTN Ka band.</w:t>
      </w:r>
    </w:p>
    <w:p>
      <w:pPr>
        <w:keepNext/>
        <w:keepLines/>
        <w:pageBreakBefore w:val="0"/>
        <w:widowControl/>
        <w:suppressLineNumbers w:val="0"/>
        <w:kinsoku/>
        <w:wordWrap/>
        <w:topLinePunct w:val="0"/>
        <w:bidi w:val="0"/>
        <w:ind w:firstLine="420" w:firstLineChars="0"/>
        <w:jc w:val="center"/>
        <w:rPr>
          <w:rFonts w:hint="default"/>
          <w:b/>
          <w:bCs/>
          <w:i w:val="0"/>
          <w:iCs w:val="0"/>
          <w:u w:val="single"/>
          <w:lang w:val="en-US" w:eastAsia="zh-CN"/>
        </w:rPr>
      </w:pPr>
      <w:r>
        <w:rPr>
          <w:rFonts w:hint="eastAsia"/>
          <w:b/>
          <w:bCs/>
          <w:i w:val="0"/>
          <w:iCs w:val="0"/>
          <w:u w:val="single"/>
          <w:lang w:val="en-US" w:eastAsia="zh-CN"/>
        </w:rPr>
        <w:t>Table 2.2-1. supported chennel bandwidth and SCS for band n1024 in TS 38.101-5</w:t>
      </w:r>
    </w:p>
    <w:tbl>
      <w:tblPr>
        <w:tblStyle w:val="24"/>
        <w:tblW w:w="7485" w:type="dxa"/>
        <w:jc w:val="center"/>
        <w:tblLayout w:type="fixed"/>
        <w:tblCellMar>
          <w:top w:w="0" w:type="dxa"/>
          <w:left w:w="108" w:type="dxa"/>
          <w:bottom w:w="0" w:type="dxa"/>
          <w:right w:w="108" w:type="dxa"/>
        </w:tblCellMar>
      </w:tblPr>
      <w:tblGrid>
        <w:gridCol w:w="1092"/>
        <w:gridCol w:w="717"/>
        <w:gridCol w:w="731"/>
        <w:gridCol w:w="822"/>
        <w:gridCol w:w="822"/>
        <w:gridCol w:w="826"/>
        <w:gridCol w:w="825"/>
        <w:gridCol w:w="825"/>
        <w:gridCol w:w="825"/>
      </w:tblGrid>
      <w:tr>
        <w:tblPrEx>
          <w:tblCellMar>
            <w:top w:w="0" w:type="dxa"/>
            <w:left w:w="108" w:type="dxa"/>
            <w:bottom w:w="0" w:type="dxa"/>
            <w:right w:w="108" w:type="dxa"/>
          </w:tblCellMar>
        </w:tblPrEx>
        <w:trPr>
          <w:trHeight w:val="187" w:hRule="atLeast"/>
          <w:jc w:val="center"/>
        </w:trPr>
        <w:tc>
          <w:tcPr>
            <w:tcW w:w="1092" w:type="dxa"/>
            <w:vMerge w:val="restart"/>
            <w:tcBorders>
              <w:top w:val="single" w:color="auto" w:sz="4" w:space="0"/>
              <w:left w:val="single" w:color="auto" w:sz="4" w:space="0"/>
              <w:right w:val="single" w:color="auto" w:sz="4" w:space="0"/>
            </w:tcBorders>
            <w:vAlign w:val="center"/>
          </w:tcPr>
          <w:p>
            <w:pPr>
              <w:pStyle w:val="35"/>
              <w:jc w:val="center"/>
            </w:pPr>
            <w:bookmarkStart w:id="8" w:name="OLE_LINK5"/>
            <w:r>
              <w:t>Operating band</w:t>
            </w:r>
          </w:p>
        </w:tc>
        <w:tc>
          <w:tcPr>
            <w:tcW w:w="717" w:type="dxa"/>
            <w:vMerge w:val="restart"/>
            <w:tcBorders>
              <w:top w:val="single" w:color="auto" w:sz="4" w:space="0"/>
              <w:left w:val="single" w:color="auto" w:sz="4" w:space="0"/>
              <w:right w:val="single" w:color="auto" w:sz="4" w:space="0"/>
            </w:tcBorders>
            <w:vAlign w:val="center"/>
          </w:tcPr>
          <w:p>
            <w:pPr>
              <w:pStyle w:val="35"/>
              <w:jc w:val="center"/>
            </w:pPr>
            <w:r>
              <w:t>SCS (kHz)</w:t>
            </w:r>
          </w:p>
        </w:tc>
        <w:tc>
          <w:tcPr>
            <w:tcW w:w="5676" w:type="dxa"/>
            <w:gridSpan w:val="7"/>
            <w:tcBorders>
              <w:top w:val="single" w:color="auto" w:sz="4" w:space="0"/>
              <w:left w:val="single" w:color="auto" w:sz="4" w:space="0"/>
              <w:bottom w:val="single" w:color="auto" w:sz="4" w:space="0"/>
              <w:right w:val="single" w:color="auto" w:sz="4" w:space="0"/>
            </w:tcBorders>
            <w:vAlign w:val="center"/>
          </w:tcPr>
          <w:p>
            <w:pPr>
              <w:pStyle w:val="35"/>
              <w:jc w:val="center"/>
            </w:pPr>
            <w:r>
              <w:t>UE channel bandwidth (MHz)</w:t>
            </w:r>
          </w:p>
        </w:tc>
      </w:tr>
      <w:tr>
        <w:tblPrEx>
          <w:tblCellMar>
            <w:top w:w="0" w:type="dxa"/>
            <w:left w:w="108" w:type="dxa"/>
            <w:bottom w:w="0" w:type="dxa"/>
            <w:right w:w="108" w:type="dxa"/>
          </w:tblCellMar>
        </w:tblPrEx>
        <w:trPr>
          <w:trHeight w:val="187" w:hRule="atLeast"/>
          <w:jc w:val="center"/>
        </w:trPr>
        <w:tc>
          <w:tcPr>
            <w:tcW w:w="1092" w:type="dxa"/>
            <w:vMerge w:val="continue"/>
            <w:tcBorders>
              <w:left w:val="single" w:color="auto" w:sz="4" w:space="0"/>
              <w:bottom w:val="single" w:color="auto" w:sz="4" w:space="0"/>
              <w:right w:val="single" w:color="auto" w:sz="4" w:space="0"/>
            </w:tcBorders>
            <w:vAlign w:val="center"/>
          </w:tcPr>
          <w:p>
            <w:pPr>
              <w:pStyle w:val="35"/>
              <w:jc w:val="center"/>
            </w:pPr>
          </w:p>
        </w:tc>
        <w:tc>
          <w:tcPr>
            <w:tcW w:w="717" w:type="dxa"/>
            <w:vMerge w:val="continue"/>
            <w:tcBorders>
              <w:left w:val="single" w:color="auto" w:sz="4" w:space="0"/>
              <w:bottom w:val="single" w:color="auto" w:sz="4" w:space="0"/>
              <w:right w:val="single" w:color="auto" w:sz="4" w:space="0"/>
            </w:tcBorders>
            <w:vAlign w:val="center"/>
          </w:tcPr>
          <w:p>
            <w:pPr>
              <w:pStyle w:val="35"/>
              <w:jc w:val="center"/>
            </w:pPr>
          </w:p>
        </w:tc>
        <w:tc>
          <w:tcPr>
            <w:tcW w:w="731" w:type="dxa"/>
            <w:tcBorders>
              <w:top w:val="single" w:color="auto" w:sz="4" w:space="0"/>
              <w:left w:val="single" w:color="auto" w:sz="4" w:space="0"/>
              <w:bottom w:val="single" w:color="auto" w:sz="4" w:space="0"/>
              <w:right w:val="single" w:color="auto" w:sz="4" w:space="0"/>
            </w:tcBorders>
            <w:vAlign w:val="center"/>
          </w:tcPr>
          <w:p>
            <w:pPr>
              <w:pStyle w:val="35"/>
              <w:jc w:val="center"/>
              <w:rPr>
                <w:lang w:eastAsia="zh-CN"/>
              </w:rPr>
            </w:pPr>
            <w:r>
              <w:rPr>
                <w:rFonts w:hint="eastAsia"/>
                <w:lang w:eastAsia="zh-CN"/>
              </w:rPr>
              <w:t>5</w:t>
            </w:r>
            <w:r>
              <w:rPr>
                <w:lang w:eastAsia="zh-CN"/>
              </w:rPr>
              <w:t>0</w:t>
            </w:r>
          </w:p>
        </w:tc>
        <w:tc>
          <w:tcPr>
            <w:tcW w:w="822" w:type="dxa"/>
            <w:tcBorders>
              <w:top w:val="single" w:color="auto" w:sz="4" w:space="0"/>
              <w:left w:val="single" w:color="auto" w:sz="4" w:space="0"/>
              <w:bottom w:val="single" w:color="auto" w:sz="4" w:space="0"/>
              <w:right w:val="single" w:color="auto" w:sz="4" w:space="0"/>
            </w:tcBorders>
            <w:vAlign w:val="center"/>
          </w:tcPr>
          <w:p>
            <w:pPr>
              <w:pStyle w:val="35"/>
              <w:jc w:val="center"/>
              <w:rPr>
                <w:lang w:eastAsia="zh-CN"/>
              </w:rPr>
            </w:pPr>
            <w:r>
              <w:rPr>
                <w:rFonts w:hint="eastAsia"/>
                <w:lang w:eastAsia="zh-CN"/>
              </w:rPr>
              <w:t>1</w:t>
            </w:r>
            <w:r>
              <w:rPr>
                <w:lang w:eastAsia="zh-CN"/>
              </w:rPr>
              <w:t>00</w:t>
            </w:r>
          </w:p>
        </w:tc>
        <w:tc>
          <w:tcPr>
            <w:tcW w:w="822" w:type="dxa"/>
            <w:tcBorders>
              <w:top w:val="single" w:color="auto" w:sz="4" w:space="0"/>
              <w:left w:val="single" w:color="auto" w:sz="4" w:space="0"/>
              <w:bottom w:val="single" w:color="auto" w:sz="4" w:space="0"/>
              <w:right w:val="single" w:color="auto" w:sz="4" w:space="0"/>
            </w:tcBorders>
            <w:vAlign w:val="center"/>
          </w:tcPr>
          <w:p>
            <w:pPr>
              <w:pStyle w:val="35"/>
              <w:jc w:val="center"/>
              <w:rPr>
                <w:lang w:eastAsia="zh-CN"/>
              </w:rPr>
            </w:pPr>
            <w:r>
              <w:rPr>
                <w:rFonts w:hint="eastAsia"/>
                <w:lang w:eastAsia="zh-CN"/>
              </w:rPr>
              <w:t>2</w:t>
            </w:r>
            <w:r>
              <w:rPr>
                <w:lang w:eastAsia="zh-CN"/>
              </w:rPr>
              <w:t>00</w:t>
            </w:r>
          </w:p>
        </w:tc>
        <w:tc>
          <w:tcPr>
            <w:tcW w:w="826" w:type="dxa"/>
            <w:tcBorders>
              <w:top w:val="single" w:color="auto" w:sz="4" w:space="0"/>
              <w:left w:val="single" w:color="auto" w:sz="4" w:space="0"/>
              <w:bottom w:val="single" w:color="auto" w:sz="4" w:space="0"/>
              <w:right w:val="single" w:color="auto" w:sz="4" w:space="0"/>
            </w:tcBorders>
            <w:vAlign w:val="center"/>
          </w:tcPr>
          <w:p>
            <w:pPr>
              <w:pStyle w:val="35"/>
              <w:jc w:val="center"/>
            </w:pPr>
            <w:r>
              <w:t>400</w:t>
            </w:r>
          </w:p>
        </w:tc>
        <w:tc>
          <w:tcPr>
            <w:tcW w:w="825" w:type="dxa"/>
            <w:tcBorders>
              <w:top w:val="single" w:color="auto" w:sz="4" w:space="0"/>
              <w:left w:val="single" w:color="auto" w:sz="4" w:space="0"/>
              <w:bottom w:val="single" w:color="auto" w:sz="4" w:space="0"/>
              <w:right w:val="single" w:color="auto" w:sz="4" w:space="0"/>
            </w:tcBorders>
            <w:vAlign w:val="center"/>
          </w:tcPr>
          <w:p>
            <w:pPr>
              <w:pStyle w:val="35"/>
              <w:jc w:val="center"/>
            </w:pPr>
            <w:r>
              <w:rPr>
                <w:lang w:eastAsia="zh-CN"/>
              </w:rPr>
              <w:t>800</w:t>
            </w:r>
          </w:p>
        </w:tc>
        <w:tc>
          <w:tcPr>
            <w:tcW w:w="825" w:type="dxa"/>
            <w:tcBorders>
              <w:top w:val="single" w:color="auto" w:sz="4" w:space="0"/>
              <w:left w:val="single" w:color="auto" w:sz="4" w:space="0"/>
              <w:bottom w:val="single" w:color="auto" w:sz="4" w:space="0"/>
              <w:right w:val="single" w:color="auto" w:sz="4" w:space="0"/>
            </w:tcBorders>
            <w:vAlign w:val="center"/>
          </w:tcPr>
          <w:p>
            <w:pPr>
              <w:pStyle w:val="35"/>
              <w:jc w:val="center"/>
            </w:pPr>
            <w:r>
              <w:t>1600</w:t>
            </w:r>
          </w:p>
        </w:tc>
        <w:tc>
          <w:tcPr>
            <w:tcW w:w="825" w:type="dxa"/>
            <w:tcBorders>
              <w:top w:val="single" w:color="auto" w:sz="4" w:space="0"/>
              <w:left w:val="single" w:color="auto" w:sz="4" w:space="0"/>
              <w:bottom w:val="single" w:color="auto" w:sz="4" w:space="0"/>
              <w:right w:val="single" w:color="auto" w:sz="4" w:space="0"/>
            </w:tcBorders>
            <w:vAlign w:val="center"/>
          </w:tcPr>
          <w:p>
            <w:pPr>
              <w:pStyle w:val="35"/>
              <w:jc w:val="center"/>
            </w:pPr>
            <w:r>
              <w:rPr>
                <w:rFonts w:hint="eastAsia"/>
                <w:lang w:eastAsia="zh-CN"/>
              </w:rPr>
              <w:t>2</w:t>
            </w:r>
            <w:r>
              <w:rPr>
                <w:lang w:eastAsia="zh-CN"/>
              </w:rPr>
              <w:t>000</w:t>
            </w:r>
          </w:p>
        </w:tc>
      </w:tr>
      <w:tr>
        <w:tblPrEx>
          <w:tblCellMar>
            <w:top w:w="0" w:type="dxa"/>
            <w:left w:w="108" w:type="dxa"/>
            <w:bottom w:w="0" w:type="dxa"/>
            <w:right w:w="108" w:type="dxa"/>
          </w:tblCellMar>
        </w:tblPrEx>
        <w:trPr>
          <w:trHeight w:val="187" w:hRule="atLeast"/>
          <w:jc w:val="center"/>
        </w:trPr>
        <w:tc>
          <w:tcPr>
            <w:tcW w:w="1092" w:type="dxa"/>
            <w:tcBorders>
              <w:top w:val="single" w:color="auto" w:sz="4" w:space="0"/>
              <w:left w:val="single" w:color="auto" w:sz="4" w:space="0"/>
              <w:bottom w:val="nil"/>
              <w:right w:val="single" w:color="auto" w:sz="4" w:space="0"/>
            </w:tcBorders>
            <w:shd w:val="clear" w:color="auto" w:fill="auto"/>
            <w:vAlign w:val="center"/>
          </w:tcPr>
          <w:p>
            <w:pPr>
              <w:pStyle w:val="36"/>
              <w:jc w:val="center"/>
              <w:rPr>
                <w:lang w:eastAsia="ja-JP"/>
              </w:rPr>
            </w:pPr>
            <w:r>
              <w:rPr>
                <w:rFonts w:hint="eastAsia" w:eastAsia="宋体"/>
                <w:lang w:val="en-US" w:eastAsia="zh-CN"/>
              </w:rPr>
              <w:t>[</w:t>
            </w:r>
            <w:r>
              <w:rPr>
                <w:lang w:eastAsia="ja-JP"/>
              </w:rPr>
              <w:t>n</w:t>
            </w:r>
            <w:r>
              <w:rPr>
                <w:rFonts w:hint="eastAsia" w:eastAsia="宋体"/>
                <w:lang w:val="en-US" w:eastAsia="zh-CN"/>
              </w:rPr>
              <w:t>1024]</w:t>
            </w:r>
          </w:p>
        </w:tc>
        <w:tc>
          <w:tcPr>
            <w:tcW w:w="717"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60</w:t>
            </w:r>
          </w:p>
        </w:tc>
        <w:tc>
          <w:tcPr>
            <w:tcW w:w="731"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50</w:t>
            </w:r>
          </w:p>
        </w:tc>
        <w:tc>
          <w:tcPr>
            <w:tcW w:w="822"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100</w:t>
            </w:r>
          </w:p>
        </w:tc>
        <w:tc>
          <w:tcPr>
            <w:tcW w:w="822"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200</w:t>
            </w:r>
          </w:p>
        </w:tc>
        <w:tc>
          <w:tcPr>
            <w:tcW w:w="826"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p>
        </w:tc>
        <w:tc>
          <w:tcPr>
            <w:tcW w:w="825"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p>
        </w:tc>
        <w:tc>
          <w:tcPr>
            <w:tcW w:w="825"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p>
        </w:tc>
        <w:tc>
          <w:tcPr>
            <w:tcW w:w="825"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p>
        </w:tc>
      </w:tr>
      <w:tr>
        <w:tblPrEx>
          <w:tblCellMar>
            <w:top w:w="0" w:type="dxa"/>
            <w:left w:w="108" w:type="dxa"/>
            <w:bottom w:w="0" w:type="dxa"/>
            <w:right w:w="108" w:type="dxa"/>
          </w:tblCellMar>
        </w:tblPrEx>
        <w:trPr>
          <w:trHeight w:val="187" w:hRule="atLeast"/>
          <w:jc w:val="center"/>
        </w:trPr>
        <w:tc>
          <w:tcPr>
            <w:tcW w:w="1092" w:type="dxa"/>
            <w:tcBorders>
              <w:top w:val="nil"/>
              <w:left w:val="single" w:color="auto" w:sz="4" w:space="0"/>
              <w:bottom w:val="single" w:color="auto" w:sz="4" w:space="0"/>
              <w:right w:val="single" w:color="auto" w:sz="4" w:space="0"/>
            </w:tcBorders>
            <w:shd w:val="clear" w:color="auto" w:fill="auto"/>
            <w:vAlign w:val="center"/>
          </w:tcPr>
          <w:p>
            <w:pPr>
              <w:pStyle w:val="36"/>
              <w:jc w:val="center"/>
              <w:rPr>
                <w:lang w:eastAsia="ja-JP"/>
              </w:rPr>
            </w:pPr>
          </w:p>
        </w:tc>
        <w:tc>
          <w:tcPr>
            <w:tcW w:w="717"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120</w:t>
            </w:r>
          </w:p>
        </w:tc>
        <w:tc>
          <w:tcPr>
            <w:tcW w:w="731"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50</w:t>
            </w:r>
          </w:p>
        </w:tc>
        <w:tc>
          <w:tcPr>
            <w:tcW w:w="822"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100</w:t>
            </w:r>
          </w:p>
        </w:tc>
        <w:tc>
          <w:tcPr>
            <w:tcW w:w="822"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200</w:t>
            </w:r>
          </w:p>
        </w:tc>
        <w:tc>
          <w:tcPr>
            <w:tcW w:w="826"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400</w:t>
            </w:r>
            <w:r>
              <w:rPr>
                <w:vertAlign w:val="superscript"/>
                <w:lang w:eastAsia="ja-JP"/>
              </w:rPr>
              <w:t>1</w:t>
            </w:r>
          </w:p>
        </w:tc>
        <w:tc>
          <w:tcPr>
            <w:tcW w:w="825"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p>
        </w:tc>
        <w:tc>
          <w:tcPr>
            <w:tcW w:w="825"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p>
        </w:tc>
        <w:tc>
          <w:tcPr>
            <w:tcW w:w="825"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p>
        </w:tc>
      </w:tr>
      <w:tr>
        <w:tblPrEx>
          <w:tblCellMar>
            <w:top w:w="0" w:type="dxa"/>
            <w:left w:w="108" w:type="dxa"/>
            <w:bottom w:w="0" w:type="dxa"/>
            <w:right w:w="108" w:type="dxa"/>
          </w:tblCellMar>
        </w:tblPrEx>
        <w:trPr>
          <w:trHeight w:val="187" w:hRule="atLeast"/>
          <w:jc w:val="center"/>
        </w:trPr>
        <w:tc>
          <w:tcPr>
            <w:tcW w:w="7485" w:type="dxa"/>
            <w:gridSpan w:val="9"/>
            <w:tcBorders>
              <w:left w:val="single" w:color="auto" w:sz="4" w:space="0"/>
              <w:bottom w:val="single" w:color="auto" w:sz="4" w:space="0"/>
              <w:right w:val="single" w:color="auto" w:sz="4" w:space="0"/>
            </w:tcBorders>
            <w:shd w:val="clear" w:color="auto" w:fill="auto"/>
            <w:vAlign w:val="center"/>
          </w:tcPr>
          <w:p>
            <w:pPr>
              <w:pStyle w:val="48"/>
              <w:rPr>
                <w:rFonts w:hint="eastAsia" w:eastAsia="宋体"/>
                <w:lang w:val="en-US" w:eastAsia="zh-CN"/>
              </w:rPr>
            </w:pPr>
            <w:r>
              <w:rPr>
                <w:rFonts w:hint="eastAsia"/>
                <w:lang w:val="en-US" w:eastAsia="zh-CN"/>
              </w:rPr>
              <w:t>[</w:t>
            </w:r>
            <w:r>
              <w:t>NOTE 1:</w:t>
            </w:r>
            <w:r>
              <w:tab/>
            </w:r>
            <w:r>
              <w:t>This UE channel bandwidth is optional in this release of the specification.</w:t>
            </w:r>
            <w:r>
              <w:rPr>
                <w:rFonts w:hint="eastAsia"/>
                <w:lang w:val="en-US" w:eastAsia="zh-CN"/>
              </w:rPr>
              <w:t>]</w:t>
            </w:r>
          </w:p>
          <w:p>
            <w:pPr>
              <w:pStyle w:val="36"/>
              <w:jc w:val="both"/>
              <w:rPr>
                <w:lang w:eastAsia="ja-JP"/>
              </w:rPr>
            </w:pPr>
            <w:r>
              <w:rPr>
                <w:rFonts w:hint="eastAsia"/>
                <w:lang w:eastAsia="zh-CN"/>
              </w:rPr>
              <w:t>N</w:t>
            </w:r>
            <w:r>
              <w:rPr>
                <w:lang w:eastAsia="zh-CN"/>
              </w:rPr>
              <w:t>OTE 2:</w:t>
            </w:r>
            <w:r>
              <w:t xml:space="preserve"> </w:t>
            </w:r>
            <w:r>
              <w:tab/>
            </w:r>
            <w:r>
              <w:rPr>
                <w:lang w:eastAsia="zh-CN"/>
              </w:rPr>
              <w:t>This SCS is optional in this release of the specification.</w:t>
            </w:r>
          </w:p>
        </w:tc>
      </w:tr>
    </w:tbl>
    <w:p>
      <w:pPr>
        <w:keepNext/>
        <w:keepLines/>
        <w:pageBreakBefore w:val="0"/>
        <w:widowControl/>
        <w:suppressLineNumbers w:val="0"/>
        <w:kinsoku/>
        <w:wordWrap/>
        <w:topLinePunct w:val="0"/>
        <w:bidi w:val="0"/>
        <w:jc w:val="left"/>
        <w:rPr>
          <w:rFonts w:hint="eastAsia"/>
          <w:b/>
          <w:bCs/>
          <w:i w:val="0"/>
          <w:iCs w:val="0"/>
          <w:u w:val="single"/>
          <w:lang w:val="en-US" w:eastAsia="zh-CN"/>
        </w:rPr>
      </w:pPr>
    </w:p>
    <w:p>
      <w:pPr>
        <w:keepNext/>
        <w:keepLines/>
        <w:pageBreakBefore w:val="0"/>
        <w:widowControl/>
        <w:suppressLineNumbers w:val="0"/>
        <w:kinsoku/>
        <w:wordWrap/>
        <w:topLinePunct w:val="0"/>
        <w:bidi w:val="0"/>
        <w:ind w:firstLine="420" w:firstLineChars="0"/>
        <w:jc w:val="center"/>
        <w:rPr>
          <w:rFonts w:hint="default"/>
          <w:b/>
          <w:bCs/>
          <w:i w:val="0"/>
          <w:iCs w:val="0"/>
          <w:u w:val="single"/>
          <w:lang w:val="en-US" w:eastAsia="zh-CN"/>
        </w:rPr>
      </w:pPr>
      <w:r>
        <w:rPr>
          <w:rFonts w:hint="eastAsia"/>
          <w:b/>
          <w:bCs/>
          <w:i w:val="0"/>
          <w:iCs w:val="0"/>
          <w:u w:val="single"/>
          <w:lang w:val="en-US" w:eastAsia="zh-CN"/>
        </w:rPr>
        <w:t>Table 2.2-2. supported chennel bandwidth and SCS for band n1024 in TS 38.108</w:t>
      </w:r>
    </w:p>
    <w:tbl>
      <w:tblPr>
        <w:tblStyle w:val="24"/>
        <w:tblW w:w="7485" w:type="dxa"/>
        <w:jc w:val="center"/>
        <w:tblLayout w:type="fixed"/>
        <w:tblCellMar>
          <w:top w:w="0" w:type="dxa"/>
          <w:left w:w="108" w:type="dxa"/>
          <w:bottom w:w="0" w:type="dxa"/>
          <w:right w:w="108" w:type="dxa"/>
        </w:tblCellMar>
      </w:tblPr>
      <w:tblGrid>
        <w:gridCol w:w="1092"/>
        <w:gridCol w:w="717"/>
        <w:gridCol w:w="731"/>
        <w:gridCol w:w="822"/>
        <w:gridCol w:w="822"/>
        <w:gridCol w:w="826"/>
        <w:gridCol w:w="825"/>
        <w:gridCol w:w="825"/>
        <w:gridCol w:w="825"/>
      </w:tblGrid>
      <w:tr>
        <w:tblPrEx>
          <w:tblCellMar>
            <w:top w:w="0" w:type="dxa"/>
            <w:left w:w="108" w:type="dxa"/>
            <w:bottom w:w="0" w:type="dxa"/>
            <w:right w:w="108" w:type="dxa"/>
          </w:tblCellMar>
        </w:tblPrEx>
        <w:trPr>
          <w:trHeight w:val="187" w:hRule="atLeast"/>
          <w:jc w:val="center"/>
        </w:trPr>
        <w:tc>
          <w:tcPr>
            <w:tcW w:w="1092" w:type="dxa"/>
            <w:vMerge w:val="restart"/>
            <w:tcBorders>
              <w:top w:val="single" w:color="auto" w:sz="4" w:space="0"/>
              <w:left w:val="single" w:color="auto" w:sz="4" w:space="0"/>
              <w:right w:val="single" w:color="auto" w:sz="4" w:space="0"/>
            </w:tcBorders>
            <w:vAlign w:val="center"/>
          </w:tcPr>
          <w:p>
            <w:pPr>
              <w:pStyle w:val="35"/>
              <w:jc w:val="center"/>
            </w:pPr>
            <w:r>
              <w:t>Operating band</w:t>
            </w:r>
          </w:p>
        </w:tc>
        <w:tc>
          <w:tcPr>
            <w:tcW w:w="717" w:type="dxa"/>
            <w:vMerge w:val="restart"/>
            <w:tcBorders>
              <w:top w:val="single" w:color="auto" w:sz="4" w:space="0"/>
              <w:left w:val="single" w:color="auto" w:sz="4" w:space="0"/>
              <w:right w:val="single" w:color="auto" w:sz="4" w:space="0"/>
            </w:tcBorders>
            <w:vAlign w:val="center"/>
          </w:tcPr>
          <w:p>
            <w:pPr>
              <w:pStyle w:val="35"/>
              <w:jc w:val="center"/>
            </w:pPr>
            <w:r>
              <w:t>SCS (kHz)</w:t>
            </w:r>
          </w:p>
        </w:tc>
        <w:tc>
          <w:tcPr>
            <w:tcW w:w="5676" w:type="dxa"/>
            <w:gridSpan w:val="7"/>
            <w:tcBorders>
              <w:top w:val="single" w:color="auto" w:sz="4" w:space="0"/>
              <w:left w:val="single" w:color="auto" w:sz="4" w:space="0"/>
              <w:bottom w:val="single" w:color="auto" w:sz="4" w:space="0"/>
              <w:right w:val="single" w:color="auto" w:sz="4" w:space="0"/>
            </w:tcBorders>
            <w:vAlign w:val="center"/>
          </w:tcPr>
          <w:p>
            <w:pPr>
              <w:pStyle w:val="35"/>
              <w:jc w:val="center"/>
            </w:pPr>
            <w:r>
              <w:t>UE channel bandwidth (MHz)</w:t>
            </w:r>
          </w:p>
        </w:tc>
      </w:tr>
      <w:tr>
        <w:tblPrEx>
          <w:tblCellMar>
            <w:top w:w="0" w:type="dxa"/>
            <w:left w:w="108" w:type="dxa"/>
            <w:bottom w:w="0" w:type="dxa"/>
            <w:right w:w="108" w:type="dxa"/>
          </w:tblCellMar>
        </w:tblPrEx>
        <w:trPr>
          <w:trHeight w:val="187" w:hRule="atLeast"/>
          <w:jc w:val="center"/>
        </w:trPr>
        <w:tc>
          <w:tcPr>
            <w:tcW w:w="1092" w:type="dxa"/>
            <w:vMerge w:val="continue"/>
            <w:tcBorders>
              <w:left w:val="single" w:color="auto" w:sz="4" w:space="0"/>
              <w:bottom w:val="single" w:color="auto" w:sz="4" w:space="0"/>
              <w:right w:val="single" w:color="auto" w:sz="4" w:space="0"/>
            </w:tcBorders>
            <w:vAlign w:val="center"/>
          </w:tcPr>
          <w:p>
            <w:pPr>
              <w:pStyle w:val="35"/>
              <w:jc w:val="center"/>
            </w:pPr>
          </w:p>
        </w:tc>
        <w:tc>
          <w:tcPr>
            <w:tcW w:w="717" w:type="dxa"/>
            <w:vMerge w:val="continue"/>
            <w:tcBorders>
              <w:left w:val="single" w:color="auto" w:sz="4" w:space="0"/>
              <w:bottom w:val="single" w:color="auto" w:sz="4" w:space="0"/>
              <w:right w:val="single" w:color="auto" w:sz="4" w:space="0"/>
            </w:tcBorders>
            <w:vAlign w:val="center"/>
          </w:tcPr>
          <w:p>
            <w:pPr>
              <w:pStyle w:val="35"/>
              <w:jc w:val="center"/>
            </w:pPr>
          </w:p>
        </w:tc>
        <w:tc>
          <w:tcPr>
            <w:tcW w:w="731" w:type="dxa"/>
            <w:tcBorders>
              <w:top w:val="single" w:color="auto" w:sz="4" w:space="0"/>
              <w:left w:val="single" w:color="auto" w:sz="4" w:space="0"/>
              <w:bottom w:val="single" w:color="auto" w:sz="4" w:space="0"/>
              <w:right w:val="single" w:color="auto" w:sz="4" w:space="0"/>
            </w:tcBorders>
            <w:vAlign w:val="center"/>
          </w:tcPr>
          <w:p>
            <w:pPr>
              <w:pStyle w:val="35"/>
              <w:jc w:val="center"/>
              <w:rPr>
                <w:lang w:eastAsia="zh-CN"/>
              </w:rPr>
            </w:pPr>
            <w:r>
              <w:rPr>
                <w:rFonts w:hint="eastAsia"/>
                <w:lang w:eastAsia="zh-CN"/>
              </w:rPr>
              <w:t>5</w:t>
            </w:r>
            <w:r>
              <w:rPr>
                <w:lang w:eastAsia="zh-CN"/>
              </w:rPr>
              <w:t>0</w:t>
            </w:r>
          </w:p>
        </w:tc>
        <w:tc>
          <w:tcPr>
            <w:tcW w:w="822" w:type="dxa"/>
            <w:tcBorders>
              <w:top w:val="single" w:color="auto" w:sz="4" w:space="0"/>
              <w:left w:val="single" w:color="auto" w:sz="4" w:space="0"/>
              <w:bottom w:val="single" w:color="auto" w:sz="4" w:space="0"/>
              <w:right w:val="single" w:color="auto" w:sz="4" w:space="0"/>
            </w:tcBorders>
            <w:vAlign w:val="center"/>
          </w:tcPr>
          <w:p>
            <w:pPr>
              <w:pStyle w:val="35"/>
              <w:jc w:val="center"/>
              <w:rPr>
                <w:lang w:eastAsia="zh-CN"/>
              </w:rPr>
            </w:pPr>
            <w:r>
              <w:rPr>
                <w:rFonts w:hint="eastAsia"/>
                <w:lang w:eastAsia="zh-CN"/>
              </w:rPr>
              <w:t>1</w:t>
            </w:r>
            <w:r>
              <w:rPr>
                <w:lang w:eastAsia="zh-CN"/>
              </w:rPr>
              <w:t>00</w:t>
            </w:r>
          </w:p>
        </w:tc>
        <w:tc>
          <w:tcPr>
            <w:tcW w:w="822" w:type="dxa"/>
            <w:tcBorders>
              <w:top w:val="single" w:color="auto" w:sz="4" w:space="0"/>
              <w:left w:val="single" w:color="auto" w:sz="4" w:space="0"/>
              <w:bottom w:val="single" w:color="auto" w:sz="4" w:space="0"/>
              <w:right w:val="single" w:color="auto" w:sz="4" w:space="0"/>
            </w:tcBorders>
            <w:vAlign w:val="center"/>
          </w:tcPr>
          <w:p>
            <w:pPr>
              <w:pStyle w:val="35"/>
              <w:jc w:val="center"/>
              <w:rPr>
                <w:lang w:eastAsia="zh-CN"/>
              </w:rPr>
            </w:pPr>
            <w:r>
              <w:rPr>
                <w:rFonts w:hint="eastAsia"/>
                <w:lang w:eastAsia="zh-CN"/>
              </w:rPr>
              <w:t>2</w:t>
            </w:r>
            <w:r>
              <w:rPr>
                <w:lang w:eastAsia="zh-CN"/>
              </w:rPr>
              <w:t>00</w:t>
            </w:r>
          </w:p>
        </w:tc>
        <w:tc>
          <w:tcPr>
            <w:tcW w:w="826" w:type="dxa"/>
            <w:tcBorders>
              <w:top w:val="single" w:color="auto" w:sz="4" w:space="0"/>
              <w:left w:val="single" w:color="auto" w:sz="4" w:space="0"/>
              <w:bottom w:val="single" w:color="auto" w:sz="4" w:space="0"/>
              <w:right w:val="single" w:color="auto" w:sz="4" w:space="0"/>
            </w:tcBorders>
            <w:vAlign w:val="center"/>
          </w:tcPr>
          <w:p>
            <w:pPr>
              <w:pStyle w:val="35"/>
              <w:jc w:val="center"/>
            </w:pPr>
            <w:r>
              <w:t>400</w:t>
            </w:r>
          </w:p>
        </w:tc>
        <w:tc>
          <w:tcPr>
            <w:tcW w:w="825" w:type="dxa"/>
            <w:tcBorders>
              <w:top w:val="single" w:color="auto" w:sz="4" w:space="0"/>
              <w:left w:val="single" w:color="auto" w:sz="4" w:space="0"/>
              <w:bottom w:val="single" w:color="auto" w:sz="4" w:space="0"/>
              <w:right w:val="single" w:color="auto" w:sz="4" w:space="0"/>
            </w:tcBorders>
            <w:vAlign w:val="center"/>
          </w:tcPr>
          <w:p>
            <w:pPr>
              <w:pStyle w:val="35"/>
              <w:jc w:val="center"/>
            </w:pPr>
            <w:r>
              <w:rPr>
                <w:lang w:eastAsia="zh-CN"/>
              </w:rPr>
              <w:t>800</w:t>
            </w:r>
          </w:p>
        </w:tc>
        <w:tc>
          <w:tcPr>
            <w:tcW w:w="825" w:type="dxa"/>
            <w:tcBorders>
              <w:top w:val="single" w:color="auto" w:sz="4" w:space="0"/>
              <w:left w:val="single" w:color="auto" w:sz="4" w:space="0"/>
              <w:bottom w:val="single" w:color="auto" w:sz="4" w:space="0"/>
              <w:right w:val="single" w:color="auto" w:sz="4" w:space="0"/>
            </w:tcBorders>
            <w:vAlign w:val="center"/>
          </w:tcPr>
          <w:p>
            <w:pPr>
              <w:pStyle w:val="35"/>
              <w:jc w:val="center"/>
            </w:pPr>
            <w:r>
              <w:t>1600</w:t>
            </w:r>
          </w:p>
        </w:tc>
        <w:tc>
          <w:tcPr>
            <w:tcW w:w="825" w:type="dxa"/>
            <w:tcBorders>
              <w:top w:val="single" w:color="auto" w:sz="4" w:space="0"/>
              <w:left w:val="single" w:color="auto" w:sz="4" w:space="0"/>
              <w:bottom w:val="single" w:color="auto" w:sz="4" w:space="0"/>
              <w:right w:val="single" w:color="auto" w:sz="4" w:space="0"/>
            </w:tcBorders>
            <w:vAlign w:val="center"/>
          </w:tcPr>
          <w:p>
            <w:pPr>
              <w:pStyle w:val="35"/>
              <w:jc w:val="center"/>
            </w:pPr>
            <w:r>
              <w:rPr>
                <w:rFonts w:hint="eastAsia"/>
                <w:lang w:eastAsia="zh-CN"/>
              </w:rPr>
              <w:t>2</w:t>
            </w:r>
            <w:r>
              <w:rPr>
                <w:lang w:eastAsia="zh-CN"/>
              </w:rPr>
              <w:t>000</w:t>
            </w:r>
          </w:p>
        </w:tc>
      </w:tr>
      <w:tr>
        <w:tblPrEx>
          <w:tblCellMar>
            <w:top w:w="0" w:type="dxa"/>
            <w:left w:w="108" w:type="dxa"/>
            <w:bottom w:w="0" w:type="dxa"/>
            <w:right w:w="108" w:type="dxa"/>
          </w:tblCellMar>
        </w:tblPrEx>
        <w:trPr>
          <w:trHeight w:val="187" w:hRule="atLeast"/>
          <w:jc w:val="center"/>
        </w:trPr>
        <w:tc>
          <w:tcPr>
            <w:tcW w:w="1092" w:type="dxa"/>
            <w:tcBorders>
              <w:top w:val="single" w:color="auto" w:sz="4" w:space="0"/>
              <w:left w:val="single" w:color="auto" w:sz="4" w:space="0"/>
              <w:bottom w:val="nil"/>
              <w:right w:val="single" w:color="auto" w:sz="4" w:space="0"/>
            </w:tcBorders>
            <w:shd w:val="clear" w:color="auto" w:fill="auto"/>
            <w:vAlign w:val="center"/>
          </w:tcPr>
          <w:p>
            <w:pPr>
              <w:pStyle w:val="36"/>
              <w:jc w:val="center"/>
              <w:rPr>
                <w:lang w:eastAsia="ja-JP"/>
              </w:rPr>
            </w:pPr>
            <w:r>
              <w:rPr>
                <w:rFonts w:hint="eastAsia" w:eastAsia="宋体"/>
                <w:lang w:val="en-US" w:eastAsia="zh-CN"/>
              </w:rPr>
              <w:t>[</w:t>
            </w:r>
            <w:r>
              <w:rPr>
                <w:lang w:eastAsia="ja-JP"/>
              </w:rPr>
              <w:t>n</w:t>
            </w:r>
            <w:r>
              <w:rPr>
                <w:rFonts w:hint="eastAsia" w:eastAsia="宋体"/>
                <w:lang w:val="en-US" w:eastAsia="zh-CN"/>
              </w:rPr>
              <w:t>1024]</w:t>
            </w:r>
          </w:p>
        </w:tc>
        <w:tc>
          <w:tcPr>
            <w:tcW w:w="717"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60</w:t>
            </w:r>
          </w:p>
        </w:tc>
        <w:tc>
          <w:tcPr>
            <w:tcW w:w="731"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50</w:t>
            </w:r>
          </w:p>
        </w:tc>
        <w:tc>
          <w:tcPr>
            <w:tcW w:w="822"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100</w:t>
            </w:r>
          </w:p>
        </w:tc>
        <w:tc>
          <w:tcPr>
            <w:tcW w:w="822"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200</w:t>
            </w:r>
          </w:p>
        </w:tc>
        <w:tc>
          <w:tcPr>
            <w:tcW w:w="826"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p>
        </w:tc>
        <w:tc>
          <w:tcPr>
            <w:tcW w:w="825"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p>
        </w:tc>
        <w:tc>
          <w:tcPr>
            <w:tcW w:w="825"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p>
        </w:tc>
        <w:tc>
          <w:tcPr>
            <w:tcW w:w="825"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p>
        </w:tc>
      </w:tr>
      <w:tr>
        <w:tblPrEx>
          <w:tblCellMar>
            <w:top w:w="0" w:type="dxa"/>
            <w:left w:w="108" w:type="dxa"/>
            <w:bottom w:w="0" w:type="dxa"/>
            <w:right w:w="108" w:type="dxa"/>
          </w:tblCellMar>
        </w:tblPrEx>
        <w:trPr>
          <w:trHeight w:val="187" w:hRule="atLeast"/>
          <w:jc w:val="center"/>
        </w:trPr>
        <w:tc>
          <w:tcPr>
            <w:tcW w:w="1092" w:type="dxa"/>
            <w:tcBorders>
              <w:top w:val="nil"/>
              <w:left w:val="single" w:color="auto" w:sz="4" w:space="0"/>
              <w:bottom w:val="single" w:color="auto" w:sz="4" w:space="0"/>
              <w:right w:val="single" w:color="auto" w:sz="4" w:space="0"/>
            </w:tcBorders>
            <w:shd w:val="clear" w:color="auto" w:fill="auto"/>
            <w:vAlign w:val="center"/>
          </w:tcPr>
          <w:p>
            <w:pPr>
              <w:pStyle w:val="36"/>
              <w:jc w:val="center"/>
              <w:rPr>
                <w:lang w:eastAsia="ja-JP"/>
              </w:rPr>
            </w:pPr>
          </w:p>
        </w:tc>
        <w:tc>
          <w:tcPr>
            <w:tcW w:w="717"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120</w:t>
            </w:r>
          </w:p>
        </w:tc>
        <w:tc>
          <w:tcPr>
            <w:tcW w:w="731"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50</w:t>
            </w:r>
          </w:p>
        </w:tc>
        <w:tc>
          <w:tcPr>
            <w:tcW w:w="822"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100</w:t>
            </w:r>
          </w:p>
        </w:tc>
        <w:tc>
          <w:tcPr>
            <w:tcW w:w="822"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200</w:t>
            </w:r>
          </w:p>
        </w:tc>
        <w:tc>
          <w:tcPr>
            <w:tcW w:w="826"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r>
              <w:rPr>
                <w:lang w:eastAsia="ja-JP"/>
              </w:rPr>
              <w:t>400</w:t>
            </w:r>
            <w:r>
              <w:rPr>
                <w:vertAlign w:val="superscript"/>
                <w:lang w:eastAsia="ja-JP"/>
              </w:rPr>
              <w:t>1</w:t>
            </w:r>
          </w:p>
        </w:tc>
        <w:tc>
          <w:tcPr>
            <w:tcW w:w="825"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p>
        </w:tc>
        <w:tc>
          <w:tcPr>
            <w:tcW w:w="825"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p>
        </w:tc>
        <w:tc>
          <w:tcPr>
            <w:tcW w:w="825" w:type="dxa"/>
            <w:tcBorders>
              <w:top w:val="single" w:color="auto" w:sz="4" w:space="0"/>
              <w:left w:val="single" w:color="auto" w:sz="4" w:space="0"/>
              <w:bottom w:val="single" w:color="auto" w:sz="4" w:space="0"/>
              <w:right w:val="single" w:color="auto" w:sz="4" w:space="0"/>
            </w:tcBorders>
            <w:vAlign w:val="center"/>
          </w:tcPr>
          <w:p>
            <w:pPr>
              <w:pStyle w:val="36"/>
              <w:jc w:val="center"/>
              <w:rPr>
                <w:lang w:eastAsia="ja-JP"/>
              </w:rPr>
            </w:pPr>
          </w:p>
        </w:tc>
      </w:tr>
      <w:tr>
        <w:tblPrEx>
          <w:tblCellMar>
            <w:top w:w="0" w:type="dxa"/>
            <w:left w:w="108" w:type="dxa"/>
            <w:bottom w:w="0" w:type="dxa"/>
            <w:right w:w="108" w:type="dxa"/>
          </w:tblCellMar>
        </w:tblPrEx>
        <w:trPr>
          <w:trHeight w:val="187" w:hRule="atLeast"/>
          <w:jc w:val="center"/>
        </w:trPr>
        <w:tc>
          <w:tcPr>
            <w:tcW w:w="7485" w:type="dxa"/>
            <w:gridSpan w:val="9"/>
            <w:tcBorders>
              <w:left w:val="single" w:color="auto" w:sz="4" w:space="0"/>
              <w:bottom w:val="single" w:color="auto" w:sz="4" w:space="0"/>
              <w:right w:val="single" w:color="auto" w:sz="4" w:space="0"/>
            </w:tcBorders>
            <w:shd w:val="clear" w:color="auto" w:fill="auto"/>
            <w:vAlign w:val="center"/>
          </w:tcPr>
          <w:p>
            <w:pPr>
              <w:pStyle w:val="48"/>
            </w:pPr>
            <w:r>
              <w:rPr>
                <w:rFonts w:hint="eastAsia"/>
                <w:lang w:val="en-US" w:eastAsia="zh-CN"/>
              </w:rPr>
              <w:t>[</w:t>
            </w:r>
            <w:r>
              <w:t>NOTE 1:</w:t>
            </w:r>
            <w:r>
              <w:tab/>
            </w:r>
            <w:r>
              <w:t>This UE channel bandwidth is optional in this release of the specification</w:t>
            </w:r>
            <w:r>
              <w:rPr>
                <w:rFonts w:hint="eastAsia"/>
                <w:lang w:val="en-US" w:eastAsia="zh-CN"/>
              </w:rPr>
              <w:t>]</w:t>
            </w:r>
            <w:r>
              <w:t>.</w:t>
            </w:r>
          </w:p>
          <w:p>
            <w:pPr>
              <w:pStyle w:val="36"/>
              <w:jc w:val="both"/>
              <w:rPr>
                <w:lang w:eastAsia="ja-JP"/>
              </w:rPr>
            </w:pPr>
            <w:r>
              <w:rPr>
                <w:rFonts w:hint="eastAsia"/>
                <w:lang w:eastAsia="zh-CN"/>
              </w:rPr>
              <w:t>N</w:t>
            </w:r>
            <w:r>
              <w:rPr>
                <w:lang w:eastAsia="zh-CN"/>
              </w:rPr>
              <w:t>OTE 2:</w:t>
            </w:r>
            <w:r>
              <w:t xml:space="preserve"> </w:t>
            </w:r>
            <w:r>
              <w:tab/>
            </w:r>
            <w:r>
              <w:rPr>
                <w:lang w:eastAsia="zh-CN"/>
              </w:rPr>
              <w:t>This SCS is optional in this release of the specification.</w:t>
            </w:r>
          </w:p>
        </w:tc>
      </w:tr>
    </w:tbl>
    <w:p>
      <w:pPr>
        <w:keepNext/>
        <w:keepLines/>
        <w:pageBreakBefore w:val="0"/>
        <w:widowControl/>
        <w:suppressLineNumbers w:val="0"/>
        <w:kinsoku/>
        <w:wordWrap/>
        <w:topLinePunct w:val="0"/>
        <w:bidi w:val="0"/>
        <w:jc w:val="left"/>
        <w:rPr>
          <w:rFonts w:hint="eastAsia"/>
          <w:b/>
          <w:bCs/>
          <w:i w:val="0"/>
          <w:iCs w:val="0"/>
          <w:u w:val="single"/>
          <w:lang w:val="en-US" w:eastAsia="zh-CN"/>
        </w:rPr>
      </w:pPr>
    </w:p>
    <w:p>
      <w:pPr>
        <w:keepNext w:val="0"/>
        <w:keepLines w:val="0"/>
        <w:pageBreakBefore w:val="0"/>
        <w:widowControl w:val="0"/>
        <w:suppressLineNumbers w:val="0"/>
        <w:kinsoku/>
        <w:wordWrap/>
        <w:topLinePunct w:val="0"/>
        <w:bidi w:val="0"/>
        <w:spacing w:before="120" w:beforeLines="0" w:after="120" w:afterLines="0"/>
        <w:jc w:val="left"/>
        <w:rPr>
          <w:rFonts w:hint="eastAsia"/>
          <w:b w:val="0"/>
          <w:bCs w:val="0"/>
          <w:i w:val="0"/>
          <w:iCs w:val="0"/>
          <w:sz w:val="20"/>
          <w:szCs w:val="20"/>
          <w:lang w:val="en-US" w:eastAsia="zh-CN"/>
        </w:rPr>
      </w:pPr>
      <w:r>
        <w:rPr>
          <w:rFonts w:hint="eastAsia" w:cs="Times New Roman"/>
          <w:b/>
          <w:bCs/>
          <w:sz w:val="20"/>
          <w:szCs w:val="20"/>
          <w:lang w:val="en-US" w:eastAsia="zh-CN"/>
        </w:rPr>
        <w:t>Proposal 2</w:t>
      </w:r>
      <w:r>
        <w:rPr>
          <w:rFonts w:hint="eastAsia" w:cs="Times New Roman"/>
          <w:sz w:val="20"/>
          <w:szCs w:val="20"/>
          <w:lang w:val="en-US" w:eastAsia="zh-CN"/>
        </w:rPr>
        <w:t>: to define the supported channel bandwidth for NTN Ka-band as in Table 2.2-1 and Table 2.2-2.</w:t>
      </w:r>
    </w:p>
    <w:bookmarkEnd w:id="8"/>
    <w:p>
      <w:pPr>
        <w:keepNext w:val="0"/>
        <w:keepLines w:val="0"/>
        <w:pageBreakBefore w:val="0"/>
        <w:widowControl w:val="0"/>
        <w:suppressLineNumbers w:val="0"/>
        <w:kinsoku/>
        <w:wordWrap/>
        <w:topLinePunct w:val="0"/>
        <w:bidi w:val="0"/>
        <w:snapToGrid/>
        <w:spacing w:before="120" w:beforeLines="0" w:after="120" w:afterLines="0"/>
        <w:jc w:val="left"/>
        <w:rPr>
          <w:rFonts w:hint="eastAsia"/>
          <w:b w:val="0"/>
          <w:bCs w:val="0"/>
          <w:i w:val="0"/>
          <w:iCs w:val="0"/>
          <w:u w:val="none"/>
          <w:lang w:val="en-US" w:eastAsia="zh-CN"/>
        </w:rPr>
      </w:pPr>
      <w:bookmarkStart w:id="9" w:name="OLE_LINK8"/>
      <w:r>
        <w:rPr>
          <w:rFonts w:hint="eastAsia"/>
          <w:b w:val="0"/>
          <w:bCs w:val="0"/>
          <w:i w:val="0"/>
          <w:iCs w:val="0"/>
          <w:u w:val="none"/>
          <w:lang w:val="en-US" w:eastAsia="zh-CN"/>
        </w:rPr>
        <w:t>In addition, regarding whether 400MHz channel bandwidth should be optional or not for NTN VSAT UE in Rel-18, this might need more discussion in RAN4. More feedback from the both operators and VSAT vendors are necessary.</w:t>
      </w:r>
    </w:p>
    <w:p>
      <w:pPr>
        <w:keepNext w:val="0"/>
        <w:keepLines w:val="0"/>
        <w:pageBreakBefore w:val="0"/>
        <w:widowControl w:val="0"/>
        <w:suppressLineNumbers w:val="0"/>
        <w:kinsoku/>
        <w:wordWrap/>
        <w:topLinePunct w:val="0"/>
        <w:bidi w:val="0"/>
        <w:snapToGrid/>
        <w:spacing w:before="120" w:beforeLines="0" w:after="120" w:afterLines="0"/>
        <w:jc w:val="left"/>
        <w:rPr>
          <w:rFonts w:hint="eastAsia"/>
          <w:b w:val="0"/>
          <w:bCs w:val="0"/>
          <w:i w:val="0"/>
          <w:iCs w:val="0"/>
          <w:sz w:val="20"/>
          <w:szCs w:val="20"/>
          <w:lang w:val="en-US" w:eastAsia="zh-CN"/>
        </w:rPr>
      </w:pPr>
      <w:r>
        <w:rPr>
          <w:rFonts w:hint="eastAsia"/>
          <w:b/>
          <w:bCs/>
          <w:i w:val="0"/>
          <w:iCs w:val="0"/>
          <w:sz w:val="20"/>
          <w:szCs w:val="20"/>
          <w:u w:val="none"/>
          <w:lang w:val="en-US" w:eastAsia="zh-CN"/>
        </w:rPr>
        <w:t>Proposal 3:</w:t>
      </w:r>
      <w:r>
        <w:rPr>
          <w:rFonts w:hint="eastAsia"/>
          <w:b w:val="0"/>
          <w:bCs w:val="0"/>
          <w:i w:val="0"/>
          <w:iCs w:val="0"/>
          <w:sz w:val="20"/>
          <w:szCs w:val="20"/>
          <w:u w:val="none"/>
          <w:lang w:val="en-US" w:eastAsia="zh-CN"/>
        </w:rPr>
        <w:t xml:space="preserve"> to further discuss whether 400MHz channel bandwidth should be optional or not for NTN VSAT UE in Ka-band. More feedback from the both operators and VSAT vendors are encouraged.</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Spectral utilization</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the spectral utilization for NTN Ka-band, technically speaking, the spectral utilization should be more or less dependent on the waveform, ACLR, out of band emission, ACS and EVM requirements etc. However based on the experience of Rel-17 NR over NTN discussion, it</w:t>
      </w:r>
      <w:r>
        <w:rPr>
          <w:rFonts w:hint="default"/>
          <w:lang w:val="en-US" w:eastAsia="zh-CN"/>
        </w:rPr>
        <w:t>’</w:t>
      </w:r>
      <w:r>
        <w:rPr>
          <w:rFonts w:hint="eastAsia"/>
          <w:lang w:val="en-US" w:eastAsia="zh-CN"/>
        </w:rPr>
        <w:t>s most likely that SAN RF requirement for NTN Ka-band would be relaxed compared with the RF requirement of the terrestrial BS, therefore we don</w:t>
      </w:r>
      <w:r>
        <w:rPr>
          <w:rFonts w:hint="default"/>
          <w:lang w:val="en-US" w:eastAsia="zh-CN"/>
        </w:rPr>
        <w:t>’</w:t>
      </w:r>
      <w:r>
        <w:rPr>
          <w:rFonts w:hint="eastAsia"/>
          <w:lang w:val="en-US" w:eastAsia="zh-CN"/>
        </w:rPr>
        <w:t>t see the problem to follow the spectral utilization of terrestrial NR system.</w:t>
      </w:r>
    </w:p>
    <w:p>
      <w:pPr>
        <w:keepNext w:val="0"/>
        <w:keepLines w:val="0"/>
        <w:pageBreakBefore w:val="0"/>
        <w:widowControl w:val="0"/>
        <w:suppressLineNumbers w:val="0"/>
        <w:kinsoku/>
        <w:wordWrap/>
        <w:topLinePunct w:val="0"/>
        <w:bidi w:val="0"/>
        <w:snapToGrid/>
        <w:spacing w:before="120" w:beforeLines="0" w:after="120" w:afterLines="0"/>
        <w:jc w:val="left"/>
        <w:rPr>
          <w:rFonts w:hint="default"/>
          <w:b w:val="0"/>
          <w:bCs w:val="0"/>
          <w:i w:val="0"/>
          <w:iCs w:val="0"/>
          <w:sz w:val="20"/>
          <w:szCs w:val="20"/>
          <w:u w:val="none"/>
          <w:lang w:val="en-US" w:eastAsia="zh-CN"/>
        </w:rPr>
      </w:pPr>
      <w:r>
        <w:rPr>
          <w:rFonts w:hint="eastAsia"/>
          <w:b/>
          <w:bCs/>
          <w:i w:val="0"/>
          <w:iCs w:val="0"/>
          <w:sz w:val="20"/>
          <w:szCs w:val="20"/>
          <w:u w:val="none"/>
          <w:lang w:val="en-US" w:eastAsia="zh-CN"/>
        </w:rPr>
        <w:t>Proposal 4:</w:t>
      </w:r>
      <w:r>
        <w:rPr>
          <w:rFonts w:hint="eastAsia"/>
          <w:b w:val="0"/>
          <w:bCs w:val="0"/>
          <w:i w:val="0"/>
          <w:iCs w:val="0"/>
          <w:sz w:val="20"/>
          <w:szCs w:val="20"/>
          <w:u w:val="none"/>
          <w:lang w:val="en-US" w:eastAsia="zh-CN"/>
        </w:rPr>
        <w:t xml:space="preserve"> to reuse the same spectral utilization requirement of FR2 TN system for NTN Ka-band.</w:t>
      </w:r>
    </w:p>
    <w:p>
      <w:pPr>
        <w:keepNext w:val="0"/>
        <w:keepLines w:val="0"/>
        <w:pageBreakBefore w:val="0"/>
        <w:widowControl w:val="0"/>
        <w:suppressLineNumbers w:val="0"/>
        <w:kinsoku/>
        <w:wordWrap/>
        <w:topLinePunct w:val="0"/>
        <w:bidi w:val="0"/>
        <w:snapToGrid/>
        <w:jc w:val="left"/>
        <w:outlineLvl w:val="1"/>
        <w:rPr>
          <w:rFonts w:hint="default"/>
          <w:b/>
          <w:bCs/>
          <w:i w:val="0"/>
          <w:iCs w:val="0"/>
          <w:u w:val="single"/>
          <w:lang w:val="en-US" w:eastAsia="zh-CN"/>
        </w:rPr>
      </w:pPr>
      <w:r>
        <w:rPr>
          <w:rFonts w:hint="eastAsia" w:ascii="Arial" w:hAnsi="Arial" w:cs="Arial"/>
          <w:sz w:val="28"/>
          <w:szCs w:val="28"/>
          <w:lang w:val="en-US" w:eastAsia="zh-CN"/>
        </w:rPr>
        <w:t>2.4. Channel raster and sync raster</w:t>
      </w:r>
    </w:p>
    <w:p>
      <w:pPr>
        <w:keepNext w:val="0"/>
        <w:keepLines w:val="0"/>
        <w:pageBreakBefore w:val="0"/>
        <w:widowControl w:val="0"/>
        <w:suppressLineNumbers w:val="0"/>
        <w:kinsoku/>
        <w:wordWrap/>
        <w:topLinePunct w:val="0"/>
        <w:bidi w:val="0"/>
        <w:snapToGrid/>
        <w:jc w:val="left"/>
        <w:rPr>
          <w:rFonts w:hint="default"/>
          <w:b w:val="0"/>
          <w:bCs w:val="0"/>
          <w:i w:val="0"/>
          <w:iCs w:val="0"/>
          <w:lang w:val="en-US" w:eastAsia="zh-CN"/>
        </w:rPr>
      </w:pPr>
      <w:r>
        <w:rPr>
          <w:rFonts w:hint="eastAsia"/>
          <w:b w:val="0"/>
          <w:bCs w:val="0"/>
          <w:i w:val="0"/>
          <w:iCs w:val="0"/>
          <w:lang w:val="en-US" w:eastAsia="zh-CN"/>
        </w:rPr>
        <w:t>The channel raster for NTN Ka-band could be be the same as band n257, i.e. 60/120kHz to the simplify the VSAT implementation complexity for initial access. In addition, sync raster could use similar approach as band n257.</w:t>
      </w:r>
    </w:p>
    <w:p>
      <w:pPr>
        <w:keepNext w:val="0"/>
        <w:keepLines w:val="0"/>
        <w:pageBreakBefore w:val="0"/>
        <w:widowControl w:val="0"/>
        <w:suppressLineNumbers w:val="0"/>
        <w:kinsoku/>
        <w:wordWrap/>
        <w:topLinePunct w:val="0"/>
        <w:bidi w:val="0"/>
        <w:snapToGrid/>
        <w:jc w:val="left"/>
        <w:rPr>
          <w:rFonts w:hint="eastAsia"/>
          <w:b w:val="0"/>
          <w:bCs w:val="0"/>
          <w:i w:val="0"/>
          <w:iCs w:val="0"/>
          <w:lang w:val="en-US" w:eastAsia="zh-CN"/>
        </w:rPr>
      </w:pPr>
      <w:r>
        <w:rPr>
          <w:rFonts w:hint="eastAsia"/>
          <w:b/>
          <w:bCs/>
          <w:i w:val="0"/>
          <w:iCs w:val="0"/>
          <w:lang w:val="en-US" w:eastAsia="zh-CN"/>
        </w:rPr>
        <w:t>Proposal 5:</w:t>
      </w:r>
      <w:r>
        <w:rPr>
          <w:rFonts w:hint="eastAsia"/>
          <w:b w:val="0"/>
          <w:bCs w:val="0"/>
          <w:i w:val="0"/>
          <w:iCs w:val="0"/>
          <w:lang w:val="en-US" w:eastAsia="zh-CN"/>
        </w:rPr>
        <w:t xml:space="preserve"> to use the same channel raster for n1024 and the NR-ARFCN in the Table 2.4-1 and GSCN in Table 2.4-2.</w:t>
      </w:r>
    </w:p>
    <w:p>
      <w:pPr>
        <w:keepNext w:val="0"/>
        <w:keepLines w:val="0"/>
        <w:pageBreakBefore w:val="0"/>
        <w:widowControl w:val="0"/>
        <w:suppressLineNumbers w:val="0"/>
        <w:kinsoku/>
        <w:wordWrap/>
        <w:topLinePunct w:val="0"/>
        <w:bidi w:val="0"/>
        <w:snapToGrid/>
        <w:jc w:val="center"/>
        <w:rPr>
          <w:rFonts w:hint="default"/>
          <w:b w:val="0"/>
          <w:bCs w:val="0"/>
          <w:i w:val="0"/>
          <w:iCs w:val="0"/>
          <w:lang w:val="en-US" w:eastAsia="zh-CN"/>
        </w:rPr>
      </w:pPr>
      <w:r>
        <w:rPr>
          <w:rFonts w:hint="eastAsia"/>
          <w:b w:val="0"/>
          <w:bCs w:val="0"/>
          <w:i w:val="0"/>
          <w:iCs w:val="0"/>
          <w:lang w:val="en-US" w:eastAsia="zh-CN"/>
        </w:rPr>
        <w:t>Table 2.4.1. NR-ARFCN for NTN Ka-band</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35"/>
              <w:rPr>
                <w:rFonts w:eastAsia="Yu Mincho"/>
              </w:rPr>
            </w:pPr>
            <w:r>
              <w:t>Operating Band</w:t>
            </w:r>
          </w:p>
        </w:tc>
        <w:tc>
          <w:tcPr>
            <w:tcW w:w="1146" w:type="dxa"/>
            <w:tcBorders>
              <w:top w:val="single" w:color="auto" w:sz="4" w:space="0"/>
              <w:left w:val="single" w:color="auto" w:sz="4" w:space="0"/>
              <w:bottom w:val="single" w:color="auto" w:sz="4" w:space="0"/>
              <w:right w:val="single" w:color="auto" w:sz="4" w:space="0"/>
            </w:tcBorders>
          </w:tcPr>
          <w:p>
            <w:pPr>
              <w:pStyle w:val="35"/>
            </w:pPr>
            <w:r>
              <w:t>ΔF</w:t>
            </w:r>
            <w:r>
              <w:rPr>
                <w:vertAlign w:val="subscript"/>
              </w:rPr>
              <w:t>Raster</w:t>
            </w:r>
          </w:p>
          <w:p>
            <w:pPr>
              <w:pStyle w:val="35"/>
              <w:rPr>
                <w:rFonts w:eastAsia="Yu Mincho"/>
              </w:rPr>
            </w:pPr>
            <w:r>
              <w:t>(kHz)</w:t>
            </w:r>
          </w:p>
        </w:tc>
        <w:tc>
          <w:tcPr>
            <w:tcW w:w="2881"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Uplink and Downlink</w:t>
            </w:r>
          </w:p>
          <w:p>
            <w:pPr>
              <w:pStyle w:val="35"/>
              <w:rPr>
                <w:rFonts w:eastAsia="Yu Mincho"/>
              </w:rPr>
            </w:pPr>
            <w:r>
              <w:rPr>
                <w:rFonts w:eastAsia="Yu Mincho"/>
              </w:rPr>
              <w:t>Range of N</w:t>
            </w:r>
            <w:r>
              <w:rPr>
                <w:rFonts w:eastAsia="Yu Mincho"/>
                <w:vertAlign w:val="subscript"/>
              </w:rPr>
              <w:t>REF</w:t>
            </w:r>
          </w:p>
          <w:p>
            <w:pPr>
              <w:pStyle w:val="35"/>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nil"/>
              <w:right w:val="single" w:color="auto" w:sz="4" w:space="0"/>
            </w:tcBorders>
            <w:shd w:val="clear" w:color="auto" w:fill="auto"/>
          </w:tcPr>
          <w:p>
            <w:pPr>
              <w:pStyle w:val="36"/>
              <w:rPr>
                <w:rFonts w:hint="default" w:eastAsia="宋体"/>
                <w:lang w:val="en-US" w:eastAsia="zh-CN"/>
              </w:rPr>
            </w:pPr>
            <w:r>
              <w:rPr>
                <w:rFonts w:hint="eastAsia" w:eastAsia="宋体"/>
                <w:lang w:val="en-US" w:eastAsia="zh-CN"/>
              </w:rPr>
              <w:t>[n1024]</w:t>
            </w:r>
          </w:p>
        </w:tc>
        <w:tc>
          <w:tcPr>
            <w:tcW w:w="1146" w:type="dxa"/>
            <w:tcBorders>
              <w:top w:val="single" w:color="auto" w:sz="4" w:space="0"/>
              <w:left w:val="single" w:color="auto" w:sz="4" w:space="0"/>
              <w:bottom w:val="single" w:color="auto" w:sz="4" w:space="0"/>
              <w:right w:val="single" w:color="auto" w:sz="4" w:space="0"/>
            </w:tcBorders>
          </w:tcPr>
          <w:p>
            <w:pPr>
              <w:pStyle w:val="36"/>
              <w:rPr>
                <w:rFonts w:eastAsia="Yu Mincho"/>
                <w:lang w:eastAsia="ja-JP"/>
              </w:rPr>
            </w:pPr>
            <w:r>
              <w:rPr>
                <w:rFonts w:eastAsia="Yu Mincho"/>
                <w:lang w:eastAsia="ja-JP"/>
              </w:rPr>
              <w:t>60</w:t>
            </w:r>
          </w:p>
        </w:tc>
        <w:tc>
          <w:tcPr>
            <w:tcW w:w="2881" w:type="dxa"/>
            <w:tcBorders>
              <w:top w:val="single" w:color="auto" w:sz="4" w:space="0"/>
              <w:left w:val="single" w:color="auto" w:sz="4" w:space="0"/>
              <w:bottom w:val="single" w:color="auto" w:sz="4" w:space="0"/>
              <w:right w:val="single" w:color="auto" w:sz="4" w:space="0"/>
            </w:tcBorders>
          </w:tcPr>
          <w:p>
            <w:pPr>
              <w:pStyle w:val="36"/>
              <w:rPr>
                <w:rFonts w:eastAsia="Yu Mincho"/>
                <w:lang w:eastAsia="ja-JP"/>
              </w:rPr>
            </w:pPr>
            <w:r>
              <w:rPr>
                <w:rFonts w:hint="eastAsia" w:eastAsia="宋体"/>
                <w:lang w:val="en-US" w:eastAsia="zh-CN"/>
              </w:rPr>
              <w:t>TBD</w:t>
            </w:r>
            <w:r>
              <w:rPr>
                <w:rFonts w:eastAsia="Yu Mincho"/>
                <w:lang w:eastAsia="ja-JP"/>
              </w:rPr>
              <w:t xml:space="preserve"> – &lt;1&gt; – </w:t>
            </w:r>
            <w:r>
              <w:rPr>
                <w:rFonts w:hint="eastAsia" w:eastAsia="宋体"/>
                <w:lang w:val="en-US" w:eastAsia="zh-CN"/>
              </w:rPr>
              <w:t>TBD</w:t>
            </w:r>
            <w:r>
              <w:rPr>
                <w:rFonts w:eastAsia="Yu Mincho"/>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nil"/>
              <w:left w:val="single" w:color="auto" w:sz="4" w:space="0"/>
              <w:bottom w:val="single" w:color="auto" w:sz="4" w:space="0"/>
              <w:right w:val="single" w:color="auto" w:sz="4" w:space="0"/>
            </w:tcBorders>
            <w:shd w:val="clear" w:color="auto" w:fill="auto"/>
          </w:tcPr>
          <w:p>
            <w:pPr>
              <w:pStyle w:val="36"/>
              <w:rPr>
                <w:lang w:eastAsia="ja-JP"/>
              </w:rPr>
            </w:pPr>
          </w:p>
        </w:tc>
        <w:tc>
          <w:tcPr>
            <w:tcW w:w="1146" w:type="dxa"/>
            <w:tcBorders>
              <w:top w:val="single" w:color="auto" w:sz="4" w:space="0"/>
              <w:left w:val="single" w:color="auto" w:sz="4" w:space="0"/>
              <w:bottom w:val="single" w:color="auto" w:sz="4" w:space="0"/>
              <w:right w:val="single" w:color="auto" w:sz="4" w:space="0"/>
            </w:tcBorders>
          </w:tcPr>
          <w:p>
            <w:pPr>
              <w:pStyle w:val="36"/>
              <w:rPr>
                <w:rFonts w:eastAsia="Yu Mincho"/>
                <w:lang w:eastAsia="ja-JP"/>
              </w:rPr>
            </w:pPr>
            <w:r>
              <w:t>120</w:t>
            </w:r>
          </w:p>
        </w:tc>
        <w:tc>
          <w:tcPr>
            <w:tcW w:w="2881" w:type="dxa"/>
            <w:tcBorders>
              <w:top w:val="single" w:color="auto" w:sz="4" w:space="0"/>
              <w:left w:val="single" w:color="auto" w:sz="4" w:space="0"/>
              <w:bottom w:val="single" w:color="auto" w:sz="4" w:space="0"/>
              <w:right w:val="single" w:color="auto" w:sz="4" w:space="0"/>
            </w:tcBorders>
          </w:tcPr>
          <w:p>
            <w:pPr>
              <w:pStyle w:val="36"/>
              <w:rPr>
                <w:lang w:eastAsia="ja-JP"/>
              </w:rPr>
            </w:pPr>
            <w:r>
              <w:rPr>
                <w:rFonts w:hint="eastAsia" w:eastAsia="宋体"/>
                <w:lang w:val="en-US" w:eastAsia="zh-CN"/>
              </w:rPr>
              <w:t>TBD</w:t>
            </w:r>
            <w:r>
              <w:rPr>
                <w:rFonts w:eastAsia="Yu Mincho"/>
                <w:lang w:eastAsia="ja-JP"/>
              </w:rPr>
              <w:t xml:space="preserve"> </w:t>
            </w:r>
            <w:r>
              <w:t xml:space="preserve">– &lt;2&gt; – </w:t>
            </w:r>
            <w:r>
              <w:rPr>
                <w:rFonts w:hint="eastAsia" w:eastAsia="宋体"/>
                <w:lang w:val="en-US" w:eastAsia="zh-CN"/>
              </w:rPr>
              <w:t>TBD</w:t>
            </w:r>
            <w:r>
              <w:rPr>
                <w:rFonts w:eastAsia="Yu Mincho"/>
                <w:lang w:eastAsia="ja-JP"/>
              </w:rPr>
              <w:t xml:space="preserve"> </w:t>
            </w:r>
          </w:p>
        </w:tc>
      </w:tr>
    </w:tbl>
    <w:p>
      <w:pPr>
        <w:keepNext/>
        <w:keepLines/>
        <w:pageBreakBefore w:val="0"/>
        <w:widowControl/>
        <w:suppressLineNumbers w:val="0"/>
        <w:kinsoku/>
        <w:wordWrap/>
        <w:topLinePunct w:val="0"/>
        <w:bidi w:val="0"/>
        <w:ind w:firstLine="0" w:firstLineChars="0"/>
        <w:jc w:val="both"/>
        <w:rPr>
          <w:rFonts w:hint="default"/>
          <w:b/>
          <w:bCs/>
          <w:i w:val="0"/>
          <w:iCs w:val="0"/>
          <w:u w:val="none"/>
          <w:lang w:val="en-US" w:eastAsia="zh-CN"/>
        </w:rPr>
      </w:pPr>
    </w:p>
    <w:p>
      <w:pPr>
        <w:keepNext w:val="0"/>
        <w:keepLines w:val="0"/>
        <w:pageBreakBefore w:val="0"/>
        <w:widowControl/>
        <w:suppressLineNumbers w:val="0"/>
        <w:kinsoku/>
        <w:wordWrap/>
        <w:topLinePunct w:val="0"/>
        <w:bidi w:val="0"/>
        <w:ind w:firstLine="0" w:firstLineChars="0"/>
        <w:jc w:val="left"/>
        <w:rPr>
          <w:rFonts w:hint="eastAsia" w:eastAsia="宋体"/>
          <w:b w:val="0"/>
          <w:bCs w:val="0"/>
          <w:i w:val="0"/>
          <w:iCs w:val="0"/>
          <w:u w:val="none"/>
          <w:lang w:val="en-US" w:eastAsia="zh-CN"/>
        </w:rPr>
      </w:pPr>
      <w:r>
        <w:rPr>
          <w:rFonts w:hint="eastAsia"/>
          <w:b w:val="0"/>
          <w:bCs w:val="0"/>
          <w:i w:val="0"/>
          <w:iCs w:val="0"/>
          <w:u w:val="none"/>
          <w:lang w:val="en-US" w:eastAsia="zh-CN"/>
        </w:rPr>
        <w:t>For NR-ARFCN design for NTN Ka-band, the existing low boundary in FR2 is assumed as 24.25GHz which is larger than lower boundary of Ka-band, therefore the range of N</w:t>
      </w:r>
      <w:r>
        <w:rPr>
          <w:rFonts w:hint="eastAsia"/>
          <w:b w:val="0"/>
          <w:bCs w:val="0"/>
          <w:i w:val="0"/>
          <w:iCs w:val="0"/>
          <w:u w:val="none"/>
          <w:vertAlign w:val="subscript"/>
          <w:lang w:val="en-US" w:eastAsia="zh-CN"/>
        </w:rPr>
        <w:t>REF</w:t>
      </w:r>
      <w:r>
        <w:rPr>
          <w:rFonts w:hint="eastAsia"/>
          <w:b w:val="0"/>
          <w:bCs w:val="0"/>
          <w:i w:val="0"/>
          <w:iCs w:val="0"/>
          <w:u w:val="none"/>
          <w:lang w:val="en-US" w:eastAsia="zh-CN"/>
        </w:rPr>
        <w:t xml:space="preserve"> in NTN spec should be lower than </w:t>
      </w:r>
      <w:r>
        <w:rPr>
          <w:lang w:val="en-US"/>
        </w:rPr>
        <w:t>2016667</w:t>
      </w:r>
      <w:r>
        <w:rPr>
          <w:rFonts w:hint="eastAsia"/>
          <w:lang w:val="en-US" w:eastAsia="zh-CN"/>
        </w:rPr>
        <w:t>.</w:t>
      </w:r>
    </w:p>
    <w:p>
      <w:pPr>
        <w:keepNext w:val="0"/>
        <w:keepLines w:val="0"/>
        <w:pageBreakBefore w:val="0"/>
        <w:widowControl/>
        <w:suppressLineNumbers w:val="0"/>
        <w:kinsoku/>
        <w:wordWrap/>
        <w:topLinePunct w:val="0"/>
        <w:bidi w:val="0"/>
        <w:ind w:firstLine="0" w:firstLineChars="0"/>
        <w:jc w:val="left"/>
        <w:rPr>
          <w:rFonts w:hint="default"/>
          <w:b w:val="0"/>
          <w:bCs w:val="0"/>
          <w:i w:val="0"/>
          <w:iCs w:val="0"/>
          <w:u w:val="none"/>
          <w:lang w:val="en-US" w:eastAsia="zh-CN"/>
        </w:rPr>
      </w:pPr>
    </w:p>
    <w:p>
      <w:pPr>
        <w:rPr>
          <w:rFonts w:eastAsia="Yu Mincho"/>
        </w:rPr>
      </w:pPr>
      <w:r>
        <w:rPr>
          <w:rFonts w:eastAsia="Yu Mincho"/>
          <w:i/>
        </w:rPr>
        <w:t>RF reference frequency</w:t>
      </w:r>
      <w:r>
        <w:rPr>
          <w:rFonts w:eastAsia="Yu Mincho"/>
        </w:rPr>
        <w:t xml:space="preserve"> is designated by an NR Absolute Radio Frequency Channel Number (NR-ARFCN) in the range [2016667...3279165] on the global frequency raster. The relation between the NR-ARFCN and the RF reference frequency F</w:t>
      </w:r>
      <w:r>
        <w:rPr>
          <w:rFonts w:eastAsia="Yu Mincho"/>
          <w:vertAlign w:val="subscript"/>
        </w:rPr>
        <w:t>REF</w:t>
      </w:r>
      <w:r>
        <w:rPr>
          <w:rFonts w:eastAsia="Yu Mincho"/>
        </w:rPr>
        <w:t xml:space="preserve"> in MHz is given by the following equation, where F</w:t>
      </w:r>
      <w:r>
        <w:rPr>
          <w:rFonts w:eastAsia="Yu Mincho"/>
          <w:vertAlign w:val="subscript"/>
        </w:rPr>
        <w:t>REF-Offs</w:t>
      </w:r>
      <w:r>
        <w:rPr>
          <w:rFonts w:eastAsia="Yu Mincho"/>
        </w:rPr>
        <w:t xml:space="preserve"> and N</w:t>
      </w:r>
      <w:r>
        <w:rPr>
          <w:rFonts w:eastAsia="Yu Mincho"/>
          <w:vertAlign w:val="subscript"/>
        </w:rPr>
        <w:t>Ref-Offs</w:t>
      </w:r>
      <w:r>
        <w:rPr>
          <w:rFonts w:eastAsia="Yu Mincho"/>
        </w:rPr>
        <w:t xml:space="preserve"> are given in table 5.4.2.1-1 and N</w:t>
      </w:r>
      <w:r>
        <w:rPr>
          <w:rFonts w:eastAsia="Yu Mincho"/>
          <w:vertAlign w:val="subscript"/>
        </w:rPr>
        <w:t>REF</w:t>
      </w:r>
      <w:r>
        <w:rPr>
          <w:rFonts w:eastAsia="Yu Mincho"/>
        </w:rPr>
        <w:t xml:space="preserve"> is the NR-ARFCN</w:t>
      </w:r>
    </w:p>
    <w:p>
      <w:pPr>
        <w:pStyle w:val="43"/>
        <w:jc w:val="center"/>
        <w:rPr>
          <w:rFonts w:eastAsia="Yu Mincho"/>
        </w:rPr>
      </w:pPr>
      <w:r>
        <w:rPr>
          <w:rFonts w:eastAsia="Yu Mincho"/>
        </w:rPr>
        <w:t>F</w:t>
      </w:r>
      <w:r>
        <w:rPr>
          <w:rFonts w:eastAsia="Yu Mincho"/>
          <w:vertAlign w:val="subscript"/>
        </w:rPr>
        <w:t>REF</w:t>
      </w:r>
      <w:r>
        <w:rPr>
          <w:rFonts w:eastAsia="Yu Mincho"/>
        </w:rPr>
        <w:t xml:space="preserve"> = F</w:t>
      </w:r>
      <w:r>
        <w:rPr>
          <w:rFonts w:eastAsia="Yu Mincho"/>
          <w:vertAlign w:val="subscript"/>
        </w:rPr>
        <w:t>REF-Offs</w:t>
      </w:r>
      <w:r>
        <w:rPr>
          <w:rFonts w:eastAsia="Yu Mincho"/>
        </w:rPr>
        <w:t xml:space="preserve"> + ΔF</w:t>
      </w:r>
      <w:r>
        <w:rPr>
          <w:rFonts w:eastAsia="Yu Mincho"/>
          <w:vertAlign w:val="subscript"/>
        </w:rPr>
        <w:t>Global</w:t>
      </w:r>
      <w:r>
        <w:rPr>
          <w:rFonts w:eastAsia="Yu Mincho"/>
        </w:rPr>
        <w:t xml:space="preserve"> (N</w:t>
      </w:r>
      <w:r>
        <w:rPr>
          <w:rFonts w:eastAsia="Yu Mincho"/>
          <w:vertAlign w:val="subscript"/>
        </w:rPr>
        <w:t>REF</w:t>
      </w:r>
      <w:r>
        <w:rPr>
          <w:rFonts w:eastAsia="Yu Mincho"/>
        </w:rPr>
        <w:t xml:space="preserve"> – N</w:t>
      </w:r>
      <w:r>
        <w:rPr>
          <w:rFonts w:eastAsia="Yu Mincho"/>
          <w:vertAlign w:val="subscript"/>
        </w:rPr>
        <w:t>REF-Offs</w:t>
      </w:r>
      <w:r>
        <w:rPr>
          <w:rFonts w:eastAsia="Yu Mincho"/>
        </w:rPr>
        <w:t>)</w:t>
      </w:r>
    </w:p>
    <w:p>
      <w:pPr>
        <w:pStyle w:val="45"/>
        <w:rPr>
          <w:rFonts w:hint="default" w:eastAsia="宋体"/>
          <w:lang w:val="en-US" w:eastAsia="zh-CN"/>
        </w:rPr>
      </w:pPr>
      <w:r>
        <w:t xml:space="preserve">Table 5.4.2.1-1: </w:t>
      </w:r>
      <w:r>
        <w:rPr>
          <w:rFonts w:eastAsia="Yu Mincho"/>
        </w:rPr>
        <w:t>NR-ARFCN parameters for the global frequency raster</w:t>
      </w:r>
      <w:r>
        <w:rPr>
          <w:rFonts w:hint="eastAsia" w:eastAsia="宋体"/>
          <w:lang w:val="en-US" w:eastAsia="zh-CN"/>
        </w:rPr>
        <w:t xml:space="preserve"> [TS 38.101-2]</w:t>
      </w:r>
    </w:p>
    <w:tbl>
      <w:tblPr>
        <w:tblStyle w:val="24"/>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369"/>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tcPr>
          <w:p>
            <w:pPr>
              <w:pStyle w:val="35"/>
            </w:pPr>
            <w:r>
              <w:t>Frequency range (MHz)</w:t>
            </w:r>
          </w:p>
        </w:tc>
        <w:tc>
          <w:tcPr>
            <w:tcW w:w="1369" w:type="dxa"/>
            <w:shd w:val="clear" w:color="auto" w:fill="auto"/>
          </w:tcPr>
          <w:p>
            <w:pPr>
              <w:pStyle w:val="35"/>
            </w:pPr>
            <w:r>
              <w:t>ΔF</w:t>
            </w:r>
            <w:r>
              <w:rPr>
                <w:vertAlign w:val="subscript"/>
              </w:rPr>
              <w:t>Global</w:t>
            </w:r>
            <w:r>
              <w:t xml:space="preserve"> (kHz)</w:t>
            </w:r>
          </w:p>
        </w:tc>
        <w:tc>
          <w:tcPr>
            <w:tcW w:w="1590" w:type="dxa"/>
            <w:shd w:val="clear" w:color="auto" w:fill="auto"/>
          </w:tcPr>
          <w:p>
            <w:pPr>
              <w:pStyle w:val="35"/>
            </w:pPr>
            <w:r>
              <w:t>F</w:t>
            </w:r>
            <w:r>
              <w:rPr>
                <w:vertAlign w:val="subscript"/>
              </w:rPr>
              <w:t>REF-Offs</w:t>
            </w:r>
            <w:r>
              <w:t xml:space="preserve"> [MHz]</w:t>
            </w:r>
          </w:p>
        </w:tc>
        <w:tc>
          <w:tcPr>
            <w:tcW w:w="1134" w:type="dxa"/>
            <w:shd w:val="clear" w:color="auto" w:fill="auto"/>
          </w:tcPr>
          <w:p>
            <w:pPr>
              <w:pStyle w:val="35"/>
            </w:pPr>
            <w:r>
              <w:t>N</w:t>
            </w:r>
            <w:r>
              <w:rPr>
                <w:vertAlign w:val="subscript"/>
              </w:rPr>
              <w:t>REF-Offs</w:t>
            </w:r>
          </w:p>
        </w:tc>
        <w:tc>
          <w:tcPr>
            <w:tcW w:w="1935" w:type="dxa"/>
            <w:shd w:val="clear" w:color="auto" w:fill="auto"/>
          </w:tcPr>
          <w:p>
            <w:pPr>
              <w:pStyle w:val="35"/>
              <w:rPr>
                <w:highlight w:val="yellow"/>
              </w:rPr>
            </w:pPr>
            <w:r>
              <w:rPr>
                <w:highlight w:val="yellow"/>
              </w:rPr>
              <w:t>Range of N</w:t>
            </w:r>
            <w:r>
              <w:rPr>
                <w:highlight w:val="yellow"/>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tcPr>
          <w:p>
            <w:pPr>
              <w:pStyle w:val="36"/>
              <w:rPr>
                <w:lang w:val="en-US"/>
              </w:rPr>
            </w:pPr>
            <w:r>
              <w:rPr>
                <w:lang w:val="en-US"/>
              </w:rPr>
              <w:t>24250 – 100000</w:t>
            </w:r>
          </w:p>
        </w:tc>
        <w:tc>
          <w:tcPr>
            <w:tcW w:w="1369" w:type="dxa"/>
            <w:shd w:val="clear" w:color="auto" w:fill="auto"/>
          </w:tcPr>
          <w:p>
            <w:pPr>
              <w:pStyle w:val="36"/>
              <w:rPr>
                <w:lang w:val="en-US"/>
              </w:rPr>
            </w:pPr>
            <w:r>
              <w:rPr>
                <w:lang w:val="en-US"/>
              </w:rPr>
              <w:t>60</w:t>
            </w:r>
          </w:p>
        </w:tc>
        <w:tc>
          <w:tcPr>
            <w:tcW w:w="1590" w:type="dxa"/>
            <w:shd w:val="clear" w:color="auto" w:fill="auto"/>
          </w:tcPr>
          <w:p>
            <w:pPr>
              <w:pStyle w:val="36"/>
              <w:rPr>
                <w:lang w:val="en-US"/>
              </w:rPr>
            </w:pPr>
            <w:r>
              <w:rPr>
                <w:lang w:val="en-US"/>
              </w:rPr>
              <w:t>24250.08</w:t>
            </w:r>
          </w:p>
        </w:tc>
        <w:tc>
          <w:tcPr>
            <w:tcW w:w="1134" w:type="dxa"/>
            <w:shd w:val="clear" w:color="auto" w:fill="auto"/>
          </w:tcPr>
          <w:p>
            <w:pPr>
              <w:pStyle w:val="36"/>
              <w:rPr>
                <w:lang w:val="en-US"/>
              </w:rPr>
            </w:pPr>
            <w:r>
              <w:rPr>
                <w:lang w:val="en-US"/>
              </w:rPr>
              <w:t>2016667</w:t>
            </w:r>
          </w:p>
        </w:tc>
        <w:tc>
          <w:tcPr>
            <w:tcW w:w="1935" w:type="dxa"/>
            <w:shd w:val="clear" w:color="auto" w:fill="auto"/>
          </w:tcPr>
          <w:p>
            <w:pPr>
              <w:pStyle w:val="36"/>
              <w:rPr>
                <w:highlight w:val="yellow"/>
                <w:lang w:val="en-US"/>
              </w:rPr>
            </w:pPr>
            <w:r>
              <w:rPr>
                <w:highlight w:val="yellow"/>
                <w:lang w:val="en-US"/>
              </w:rPr>
              <w:t>2016667 – 3279165</w:t>
            </w:r>
          </w:p>
        </w:tc>
      </w:tr>
    </w:tbl>
    <w:p>
      <w:pPr>
        <w:keepNext/>
        <w:keepLines/>
        <w:pageBreakBefore w:val="0"/>
        <w:widowControl/>
        <w:suppressLineNumbers w:val="0"/>
        <w:kinsoku/>
        <w:wordWrap/>
        <w:topLinePunct w:val="0"/>
        <w:bidi w:val="0"/>
        <w:ind w:firstLine="0" w:firstLineChars="0"/>
        <w:jc w:val="both"/>
        <w:rPr>
          <w:rFonts w:hint="eastAsia"/>
          <w:b/>
          <w:bCs/>
          <w:i w:val="0"/>
          <w:iCs w:val="0"/>
          <w:u w:val="none"/>
          <w:lang w:val="en-US" w:eastAsia="zh-CN"/>
        </w:rPr>
      </w:pPr>
    </w:p>
    <w:p>
      <w:pPr>
        <w:keepNext w:val="0"/>
        <w:keepLines w:val="0"/>
        <w:pageBreakBefore w:val="0"/>
        <w:widowControl w:val="0"/>
        <w:suppressLineNumbers w:val="0"/>
        <w:kinsoku/>
        <w:wordWrap/>
        <w:topLinePunct w:val="0"/>
        <w:bidi w:val="0"/>
        <w:ind w:firstLine="0" w:firstLineChars="0"/>
        <w:jc w:val="center"/>
        <w:rPr>
          <w:rFonts w:hint="eastAsia"/>
          <w:b/>
          <w:bCs/>
          <w:i w:val="0"/>
          <w:iCs w:val="0"/>
          <w:u w:val="none"/>
          <w:lang w:val="en-US" w:eastAsia="zh-CN"/>
        </w:rPr>
      </w:pPr>
      <w:r>
        <w:rPr>
          <w:rFonts w:hint="eastAsia"/>
          <w:b w:val="0"/>
          <w:bCs w:val="0"/>
          <w:i w:val="0"/>
          <w:iCs w:val="0"/>
          <w:lang w:val="en-US" w:eastAsia="zh-CN"/>
        </w:rPr>
        <w:t>Table 2.4.1. GSCN for NTN Ka-band</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3"/>
        <w:gridCol w:w="2441"/>
        <w:gridCol w:w="2395"/>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3"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NR Operating Band</w:t>
            </w:r>
          </w:p>
        </w:tc>
        <w:tc>
          <w:tcPr>
            <w:tcW w:w="2441" w:type="dxa"/>
            <w:tcBorders>
              <w:top w:val="single" w:color="auto" w:sz="4" w:space="0"/>
              <w:left w:val="single" w:color="auto" w:sz="4" w:space="0"/>
              <w:bottom w:val="single" w:color="auto" w:sz="4" w:space="0"/>
              <w:right w:val="single" w:color="auto" w:sz="4" w:space="0"/>
            </w:tcBorders>
          </w:tcPr>
          <w:p>
            <w:pPr>
              <w:pStyle w:val="35"/>
              <w:rPr>
                <w:rFonts w:eastAsia="Yu Mincho"/>
                <w:lang w:eastAsia="ja-JP"/>
              </w:rPr>
            </w:pPr>
            <w:r>
              <w:rPr>
                <w:rFonts w:eastAsia="Yu Mincho"/>
              </w:rPr>
              <w:t>SS Block SCS</w:t>
            </w:r>
          </w:p>
        </w:tc>
        <w:tc>
          <w:tcPr>
            <w:tcW w:w="2395"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SS Block pattern</w:t>
            </w:r>
            <w:r>
              <w:rPr>
                <w:rFonts w:eastAsia="Yu Mincho"/>
                <w:vertAlign w:val="superscript"/>
              </w:rPr>
              <w:t>1</w:t>
            </w:r>
          </w:p>
        </w:tc>
        <w:tc>
          <w:tcPr>
            <w:tcW w:w="2720" w:type="dxa"/>
            <w:tcBorders>
              <w:top w:val="single" w:color="auto" w:sz="4" w:space="0"/>
              <w:left w:val="single" w:color="auto" w:sz="4" w:space="0"/>
              <w:bottom w:val="single" w:color="auto" w:sz="4" w:space="0"/>
              <w:right w:val="single" w:color="auto" w:sz="4" w:space="0"/>
            </w:tcBorders>
          </w:tcPr>
          <w:p>
            <w:pPr>
              <w:pStyle w:val="35"/>
              <w:rPr>
                <w:rFonts w:eastAsia="Yu Mincho"/>
                <w:vertAlign w:val="subscript"/>
              </w:rPr>
            </w:pPr>
            <w:r>
              <w:rPr>
                <w:rFonts w:eastAsia="Yu Mincho"/>
              </w:rPr>
              <w:t>Range of GSCN</w:t>
            </w:r>
          </w:p>
          <w:p>
            <w:pPr>
              <w:pStyle w:val="35"/>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3" w:type="dxa"/>
            <w:tcBorders>
              <w:top w:val="single" w:color="auto" w:sz="4" w:space="0"/>
              <w:left w:val="single" w:color="auto" w:sz="4" w:space="0"/>
              <w:bottom w:val="nil"/>
              <w:right w:val="single" w:color="auto" w:sz="4" w:space="0"/>
            </w:tcBorders>
            <w:shd w:val="clear" w:color="auto" w:fill="auto"/>
            <w:vAlign w:val="center"/>
          </w:tcPr>
          <w:p>
            <w:pPr>
              <w:pStyle w:val="36"/>
              <w:rPr>
                <w:rFonts w:hint="eastAsia" w:eastAsia="宋体"/>
                <w:lang w:val="en-US" w:eastAsia="zh-CN"/>
              </w:rPr>
            </w:pPr>
            <w:r>
              <w:rPr>
                <w:rFonts w:hint="eastAsia" w:eastAsia="宋体"/>
                <w:lang w:val="en-US" w:eastAsia="zh-CN"/>
              </w:rPr>
              <w:t>[</w:t>
            </w:r>
            <w:r>
              <w:t>n</w:t>
            </w:r>
            <w:r>
              <w:rPr>
                <w:rFonts w:hint="eastAsia" w:eastAsia="宋体"/>
                <w:lang w:val="en-US" w:eastAsia="zh-CN"/>
              </w:rPr>
              <w:t>1024]</w:t>
            </w:r>
          </w:p>
        </w:tc>
        <w:tc>
          <w:tcPr>
            <w:tcW w:w="2441" w:type="dxa"/>
            <w:tcBorders>
              <w:top w:val="single" w:color="auto" w:sz="4" w:space="0"/>
              <w:left w:val="single" w:color="auto" w:sz="4" w:space="0"/>
              <w:bottom w:val="single" w:color="auto" w:sz="4" w:space="0"/>
              <w:right w:val="single" w:color="auto" w:sz="4" w:space="0"/>
            </w:tcBorders>
          </w:tcPr>
          <w:p>
            <w:pPr>
              <w:pStyle w:val="36"/>
              <w:rPr>
                <w:lang w:val="en-US" w:eastAsia="ja-JP"/>
              </w:rPr>
            </w:pPr>
            <w:r>
              <w:t>120 kHz</w:t>
            </w:r>
          </w:p>
        </w:tc>
        <w:tc>
          <w:tcPr>
            <w:tcW w:w="2395" w:type="dxa"/>
            <w:tcBorders>
              <w:top w:val="single" w:color="auto" w:sz="4" w:space="0"/>
              <w:left w:val="single" w:color="auto" w:sz="4" w:space="0"/>
              <w:bottom w:val="single" w:color="auto" w:sz="4" w:space="0"/>
              <w:right w:val="single" w:color="auto" w:sz="4" w:space="0"/>
            </w:tcBorders>
          </w:tcPr>
          <w:p>
            <w:pPr>
              <w:pStyle w:val="36"/>
            </w:pPr>
            <w:r>
              <w:t>Case D</w:t>
            </w:r>
          </w:p>
        </w:tc>
        <w:tc>
          <w:tcPr>
            <w:tcW w:w="2720" w:type="dxa"/>
            <w:tcBorders>
              <w:top w:val="single" w:color="auto" w:sz="4" w:space="0"/>
              <w:left w:val="single" w:color="auto" w:sz="4" w:space="0"/>
              <w:bottom w:val="single" w:color="auto" w:sz="4" w:space="0"/>
              <w:right w:val="single" w:color="auto" w:sz="4" w:space="0"/>
            </w:tcBorders>
          </w:tcPr>
          <w:p>
            <w:pPr>
              <w:pStyle w:val="36"/>
              <w:rPr>
                <w:rFonts w:hint="default" w:eastAsia="宋体"/>
                <w:lang w:val="en-US" w:eastAsia="zh-CN"/>
              </w:rPr>
            </w:pPr>
            <w:r>
              <w:rPr>
                <w:rFonts w:hint="eastAsia" w:eastAsia="宋体"/>
                <w:lang w:val="en-US" w:eastAsia="zh-CN"/>
              </w:rPr>
              <w:t>TBD</w:t>
            </w:r>
            <w:r>
              <w:t xml:space="preserve">- &lt;1&gt; - </w:t>
            </w:r>
            <w:r>
              <w:rPr>
                <w:rFonts w:hint="eastAsia" w:eastAsia="宋体"/>
                <w:lang w:val="en-US"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3" w:type="dxa"/>
            <w:tcBorders>
              <w:top w:val="nil"/>
              <w:left w:val="single" w:color="auto" w:sz="4" w:space="0"/>
              <w:bottom w:val="single" w:color="auto" w:sz="4" w:space="0"/>
              <w:right w:val="single" w:color="auto" w:sz="4" w:space="0"/>
            </w:tcBorders>
            <w:shd w:val="clear" w:color="auto" w:fill="auto"/>
            <w:vAlign w:val="center"/>
          </w:tcPr>
          <w:p>
            <w:pPr>
              <w:pStyle w:val="36"/>
              <w:rPr>
                <w:rFonts w:eastAsia="Yu Mincho"/>
              </w:rPr>
            </w:pPr>
          </w:p>
        </w:tc>
        <w:tc>
          <w:tcPr>
            <w:tcW w:w="2441" w:type="dxa"/>
            <w:tcBorders>
              <w:top w:val="single" w:color="auto" w:sz="4" w:space="0"/>
              <w:left w:val="single" w:color="auto" w:sz="4" w:space="0"/>
              <w:bottom w:val="single" w:color="auto" w:sz="4" w:space="0"/>
              <w:right w:val="single" w:color="auto" w:sz="4" w:space="0"/>
            </w:tcBorders>
          </w:tcPr>
          <w:p>
            <w:pPr>
              <w:pStyle w:val="36"/>
              <w:rPr>
                <w:lang w:val="en-US" w:eastAsia="ja-JP"/>
              </w:rPr>
            </w:pPr>
            <w:r>
              <w:t>240 kHz</w:t>
            </w:r>
          </w:p>
        </w:tc>
        <w:tc>
          <w:tcPr>
            <w:tcW w:w="2395" w:type="dxa"/>
            <w:tcBorders>
              <w:top w:val="single" w:color="auto" w:sz="4" w:space="0"/>
              <w:left w:val="single" w:color="auto" w:sz="4" w:space="0"/>
              <w:bottom w:val="single" w:color="auto" w:sz="4" w:space="0"/>
              <w:right w:val="single" w:color="auto" w:sz="4" w:space="0"/>
            </w:tcBorders>
          </w:tcPr>
          <w:p>
            <w:pPr>
              <w:pStyle w:val="36"/>
            </w:pPr>
            <w:r>
              <w:t>Case E</w:t>
            </w:r>
          </w:p>
        </w:tc>
        <w:tc>
          <w:tcPr>
            <w:tcW w:w="2720" w:type="dxa"/>
            <w:tcBorders>
              <w:top w:val="single" w:color="auto" w:sz="4" w:space="0"/>
              <w:left w:val="single" w:color="auto" w:sz="4" w:space="0"/>
              <w:bottom w:val="single" w:color="auto" w:sz="4" w:space="0"/>
              <w:right w:val="single" w:color="auto" w:sz="4" w:space="0"/>
            </w:tcBorders>
          </w:tcPr>
          <w:p>
            <w:pPr>
              <w:pStyle w:val="36"/>
              <w:rPr>
                <w:rFonts w:hint="default" w:eastAsia="宋体"/>
                <w:lang w:val="en-US" w:eastAsia="zh-CN"/>
              </w:rPr>
            </w:pPr>
            <w:r>
              <w:rPr>
                <w:rFonts w:hint="eastAsia" w:eastAsia="宋体"/>
                <w:lang w:val="en-US" w:eastAsia="zh-CN"/>
              </w:rPr>
              <w:t>TBD</w:t>
            </w:r>
            <w:r>
              <w:t xml:space="preserve"> - &lt;2&gt; - </w:t>
            </w:r>
            <w:r>
              <w:rPr>
                <w:rFonts w:hint="eastAsia" w:eastAsia="宋体"/>
                <w:lang w:val="en-US"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left w:val="single" w:color="auto" w:sz="4" w:space="0"/>
              <w:bottom w:val="single" w:color="auto" w:sz="4" w:space="0"/>
              <w:right w:val="single" w:color="auto" w:sz="4" w:space="0"/>
            </w:tcBorders>
          </w:tcPr>
          <w:p>
            <w:pPr>
              <w:pStyle w:val="48"/>
            </w:pPr>
            <w:r>
              <w:t>NOTE 1:</w:t>
            </w:r>
            <w:r>
              <w:tab/>
            </w:r>
            <w:r>
              <w:t>SS Block pattern is defined in clause 4.1 in TS 38.213 [10].</w:t>
            </w:r>
          </w:p>
          <w:p>
            <w:pPr>
              <w:pStyle w:val="48"/>
              <w:ind w:left="0" w:firstLine="0"/>
              <w:rPr>
                <w:lang w:eastAsia="zh-CN"/>
              </w:rPr>
            </w:pPr>
            <w:r>
              <w:rPr>
                <w:rFonts w:hint="eastAsia"/>
                <w:lang w:eastAsia="zh-CN"/>
              </w:rPr>
              <w:t>N</w:t>
            </w:r>
            <w:r>
              <w:rPr>
                <w:lang w:eastAsia="zh-CN"/>
              </w:rPr>
              <w:t xml:space="preserve">OTE 2: </w:t>
            </w:r>
            <w:r>
              <w:tab/>
            </w:r>
            <w:r>
              <w:rPr>
                <w:lang w:eastAsia="zh-CN"/>
              </w:rPr>
              <w:t>SS Block SCS of 960 kHz is not used for initial access.</w:t>
            </w:r>
          </w:p>
        </w:tc>
      </w:tr>
      <w:bookmarkEnd w:id="9"/>
    </w:tbl>
    <w:p>
      <w:pPr>
        <w:spacing w:before="120" w:beforeLines="0" w:after="120" w:afterLines="0"/>
        <w:ind w:firstLine="0" w:firstLineChars="0"/>
        <w:jc w:val="left"/>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The same reason as NR-ARFCN for NTN Ka-band, the range of GSCN for NTN Ka-band should be updated in the NTN spec</w:t>
      </w:r>
    </w:p>
    <w:p>
      <w:pPr>
        <w:pStyle w:val="45"/>
        <w:rPr>
          <w:rFonts w:hint="default" w:eastAsia="宋体"/>
          <w:lang w:val="en-US" w:eastAsia="zh-CN"/>
        </w:rPr>
      </w:pPr>
      <w:r>
        <w:t xml:space="preserve">Table 5.4.3.1-1: </w:t>
      </w:r>
      <w:r>
        <w:rPr>
          <w:rFonts w:eastAsia="Yu Mincho"/>
        </w:rPr>
        <w:t>GSCN parameters for the global frequency raster</w:t>
      </w:r>
      <w:r>
        <w:rPr>
          <w:rFonts w:hint="eastAsia" w:eastAsia="宋体"/>
          <w:lang w:val="en-US" w:eastAsia="zh-CN"/>
        </w:rPr>
        <w:t xml:space="preserve"> [TS 38.101-2]</w:t>
      </w:r>
    </w:p>
    <w:tbl>
      <w:tblPr>
        <w:tblStyle w:val="24"/>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3518"/>
        <w:gridCol w:w="1938"/>
        <w:gridCol w:w="1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auto"/>
          </w:tcPr>
          <w:p>
            <w:pPr>
              <w:pStyle w:val="35"/>
            </w:pPr>
            <w:r>
              <w:t>Frequency range</w:t>
            </w:r>
          </w:p>
        </w:tc>
        <w:tc>
          <w:tcPr>
            <w:tcW w:w="3518" w:type="dxa"/>
            <w:shd w:val="clear" w:color="auto" w:fill="auto"/>
          </w:tcPr>
          <w:p>
            <w:pPr>
              <w:pStyle w:val="35"/>
            </w:pPr>
            <w:r>
              <w:t>SS block frequency position SS</w:t>
            </w:r>
            <w:r>
              <w:rPr>
                <w:vertAlign w:val="subscript"/>
              </w:rPr>
              <w:t>REF</w:t>
            </w:r>
          </w:p>
        </w:tc>
        <w:tc>
          <w:tcPr>
            <w:tcW w:w="1938" w:type="dxa"/>
          </w:tcPr>
          <w:p>
            <w:pPr>
              <w:pStyle w:val="35"/>
            </w:pPr>
            <w:r>
              <w:t>GSCN</w:t>
            </w:r>
          </w:p>
        </w:tc>
        <w:tc>
          <w:tcPr>
            <w:tcW w:w="1992" w:type="dxa"/>
            <w:shd w:val="clear" w:color="auto" w:fill="auto"/>
          </w:tcPr>
          <w:p>
            <w:pPr>
              <w:pStyle w:val="35"/>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9" w:type="dxa"/>
            <w:shd w:val="clear" w:color="auto" w:fill="auto"/>
          </w:tcPr>
          <w:p>
            <w:pPr>
              <w:pStyle w:val="36"/>
              <w:rPr>
                <w:b/>
                <w:lang w:val="en-US"/>
              </w:rPr>
            </w:pPr>
            <w:r>
              <w:rPr>
                <w:lang w:val="en-US"/>
              </w:rPr>
              <w:t>24250 – 100000 MHz</w:t>
            </w:r>
          </w:p>
        </w:tc>
        <w:tc>
          <w:tcPr>
            <w:tcW w:w="3518" w:type="dxa"/>
            <w:shd w:val="clear" w:color="auto" w:fill="auto"/>
          </w:tcPr>
          <w:p>
            <w:pPr>
              <w:pStyle w:val="36"/>
              <w:rPr>
                <w:lang w:val="en-US"/>
              </w:rPr>
            </w:pPr>
            <w:r>
              <w:rPr>
                <w:lang w:val="en-US"/>
              </w:rPr>
              <w:t>24250.08 MHz + N * 17.28 MHz,</w:t>
            </w:r>
          </w:p>
          <w:p>
            <w:pPr>
              <w:pStyle w:val="36"/>
              <w:rPr>
                <w:b/>
                <w:lang w:val="en-US"/>
              </w:rPr>
            </w:pPr>
            <w:r>
              <w:rPr>
                <w:lang w:val="en-US"/>
              </w:rPr>
              <w:t>N = 0:4383</w:t>
            </w:r>
          </w:p>
        </w:tc>
        <w:tc>
          <w:tcPr>
            <w:tcW w:w="1938" w:type="dxa"/>
          </w:tcPr>
          <w:p>
            <w:pPr>
              <w:pStyle w:val="36"/>
            </w:pPr>
            <w:r>
              <w:t>22256 + N</w:t>
            </w:r>
          </w:p>
        </w:tc>
        <w:tc>
          <w:tcPr>
            <w:tcW w:w="1992" w:type="dxa"/>
            <w:shd w:val="clear" w:color="auto" w:fill="auto"/>
          </w:tcPr>
          <w:p>
            <w:pPr>
              <w:pStyle w:val="36"/>
              <w:rPr>
                <w:b/>
                <w:lang w:val="en-US"/>
              </w:rPr>
            </w:pPr>
            <w:r>
              <w:rPr>
                <w:lang w:val="en-US"/>
              </w:rPr>
              <w:t>22256 – 26639</w:t>
            </w:r>
          </w:p>
        </w:tc>
      </w:tr>
    </w:tbl>
    <w:p>
      <w:pPr>
        <w:spacing w:before="120" w:beforeLines="0" w:after="120" w:afterLines="0"/>
        <w:ind w:firstLine="0" w:firstLineChars="0"/>
        <w:jc w:val="left"/>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In addition, it should be noted that NTN Ka-band is not belonging to any FR1 or FR2 definition. From our understanding, if we want to apply SSB block pattern D and SSB pattern E for NTN Ka-band, some updates in TS 38.213 is needed at least.</w:t>
      </w:r>
    </w:p>
    <w:p>
      <w:pPr>
        <w:spacing w:before="120" w:beforeLines="0" w:after="120" w:afterLines="0"/>
        <w:ind w:firstLine="0" w:firstLineChars="0"/>
        <w:jc w:val="left"/>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 xml:space="preserve">In addition, </w:t>
      </w:r>
    </w:p>
    <w:p>
      <w:pPr>
        <w:pStyle w:val="50"/>
        <w:rPr>
          <w:lang w:eastAsia="ja-JP"/>
        </w:rPr>
      </w:pPr>
      <w:r>
        <w:rPr>
          <w:lang w:eastAsia="ja-JP"/>
        </w:rPr>
        <w:t>-</w:t>
      </w:r>
      <w:r>
        <w:rPr>
          <w:lang w:eastAsia="ja-JP"/>
        </w:rPr>
        <w:tab/>
      </w:r>
      <w:r>
        <w:rPr>
          <w:lang w:eastAsia="ja-JP"/>
        </w:rPr>
        <w:t xml:space="preserve">Case D - 120 kHz </w:t>
      </w:r>
      <w:r>
        <w:t>SCS</w:t>
      </w:r>
      <w:r>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4,8,16,20</m:t>
            </m:r>
            <m:ctrlPr>
              <w:rPr>
                <w:rFonts w:ascii="Cambria Math" w:hAnsi="Cambria Math"/>
                <w:i/>
                <w:lang w:eastAsia="ja-JP"/>
              </w:rPr>
            </m:ctrlPr>
          </m:e>
        </m:d>
        <m:r>
          <w:rPr>
            <w:rFonts w:ascii="Cambria Math"/>
          </w:rPr>
          <m:t>+28</m:t>
        </m:r>
        <m:r>
          <w:rPr>
            <w:rFonts w:ascii="Cambria Math" w:hAnsi="Cambria Math" w:cs="Cambria Math"/>
          </w:rPr>
          <m:t>⋅</m:t>
        </m:r>
        <m:r>
          <w:rPr>
            <w:rFonts w:ascii="Cambria Math"/>
          </w:rPr>
          <m:t>n</m:t>
        </m:r>
      </m:oMath>
      <w:r>
        <w:t xml:space="preserve">. For carrier frequencies </w:t>
      </w:r>
      <w:r>
        <w:rPr>
          <w:lang w:val="en-US"/>
        </w:rPr>
        <w:t>within FR2</w:t>
      </w:r>
      <w:r>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Pr>
          <w:lang w:eastAsia="ja-JP"/>
        </w:rPr>
        <w:t>.</w:t>
      </w:r>
    </w:p>
    <w:p>
      <w:pPr>
        <w:pStyle w:val="50"/>
        <w:rPr>
          <w:rFonts w:hint="default" w:eastAsia="Times New Roman" w:cs="Times New Roman"/>
          <w:kern w:val="0"/>
          <w:sz w:val="20"/>
          <w:szCs w:val="20"/>
          <w:highlight w:val="none"/>
          <w:lang w:val="en-US" w:eastAsia="zh-CN" w:bidi="ar-SA"/>
        </w:rPr>
      </w:pPr>
      <w:r>
        <w:rPr>
          <w:lang w:eastAsia="ja-JP"/>
        </w:rPr>
        <w:t>-</w:t>
      </w:r>
      <w:r>
        <w:rPr>
          <w:lang w:eastAsia="ja-JP"/>
        </w:rPr>
        <w:tab/>
      </w:r>
      <w:r>
        <w:rPr>
          <w:lang w:eastAsia="ja-JP"/>
        </w:rPr>
        <w:t xml:space="preserve">Case E - 240 kHz </w:t>
      </w:r>
      <w:r>
        <w:t>SCS</w:t>
      </w:r>
      <w:r>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8,12,16,20,32,36,40,44</m:t>
            </m:r>
            <m:ctrlPr>
              <w:rPr>
                <w:rFonts w:ascii="Cambria Math" w:hAnsi="Cambria Math"/>
                <w:i/>
                <w:lang w:eastAsia="ja-JP"/>
              </w:rPr>
            </m:ctrlPr>
          </m:e>
        </m:d>
        <m:r>
          <w:rPr>
            <w:rFonts w:ascii="Cambria Math"/>
          </w:rPr>
          <m:t>+56</m:t>
        </m:r>
        <m:r>
          <w:rPr>
            <w:rFonts w:ascii="Cambria Math" w:hAnsi="Cambria Math" w:cs="Cambria Math"/>
          </w:rPr>
          <m:t>⋅</m:t>
        </m:r>
        <m:r>
          <w:rPr>
            <w:rFonts w:ascii="Cambria Math"/>
          </w:rPr>
          <m:t>n</m:t>
        </m:r>
      </m:oMath>
      <w:r>
        <w:rPr>
          <w:lang w:eastAsia="ja-JP"/>
        </w:rPr>
        <w:t xml:space="preserve">. </w:t>
      </w:r>
      <w:r>
        <w:t xml:space="preserve">For carrier frequencies </w:t>
      </w:r>
      <w:r>
        <w:rPr>
          <w:lang w:val="en-US"/>
        </w:rPr>
        <w:t>within FR2-1</w:t>
      </w:r>
      <w:r>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t>.</w:t>
      </w:r>
    </w:p>
    <w:bookmarkEnd w:id="4"/>
    <w:bookmarkEnd w:id="5"/>
    <w:bookmarkEnd w:id="6"/>
    <w:bookmarkEnd w:id="7"/>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initial views </w:t>
      </w:r>
      <w:r>
        <w:rPr>
          <w:rFonts w:hint="eastAsia"/>
          <w:lang w:val="en-US" w:eastAsia="zh-CN"/>
        </w:rPr>
        <w:t>from system parameter perspective for NTN Ka-band</w:t>
      </w:r>
      <w:r>
        <w:rPr>
          <w:rFonts w:hint="eastAsia" w:eastAsia="宋体"/>
          <w:lang w:val="en-US" w:eastAsia="zh-CN"/>
        </w:rPr>
        <w:t>.</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autoSpaceDE/>
        <w:autoSpaceDN/>
        <w:adjustRightInd/>
        <w:snapToGrid/>
        <w:spacing w:before="0" w:beforeLines="0" w:after="0" w:afterLines="0" w:line="240" w:lineRule="auto"/>
        <w:jc w:val="left"/>
        <w:rPr>
          <w:rFonts w:hint="default" w:cs="Times New Roman"/>
          <w:sz w:val="20"/>
          <w:szCs w:val="20"/>
          <w:lang w:val="en-US" w:eastAsia="zh-CN"/>
        </w:rPr>
      </w:pPr>
      <w:r>
        <w:rPr>
          <w:rFonts w:hint="eastAsia" w:cs="Times New Roman"/>
          <w:b/>
          <w:bCs/>
          <w:sz w:val="20"/>
          <w:szCs w:val="20"/>
          <w:lang w:val="en-US" w:eastAsia="zh-CN"/>
        </w:rPr>
        <w:t>Proposal 1</w:t>
      </w:r>
      <w:r>
        <w:rPr>
          <w:rFonts w:hint="eastAsia" w:cs="Times New Roman"/>
          <w:sz w:val="20"/>
          <w:szCs w:val="20"/>
          <w:lang w:val="en-US" w:eastAsia="zh-CN"/>
        </w:rPr>
        <w:t>: to define the band in Table 2.1-1 for NTN Ka-band as starting point.</w:t>
      </w:r>
    </w:p>
    <w:p>
      <w:pPr>
        <w:keepNext w:val="0"/>
        <w:keepLines w:val="0"/>
        <w:pageBreakBefore w:val="0"/>
        <w:widowControl w:val="0"/>
        <w:suppressLineNumbers w:val="0"/>
        <w:kinsoku/>
        <w:wordWrap/>
        <w:topLinePunct w:val="0"/>
        <w:bidi w:val="0"/>
        <w:spacing w:before="0" w:beforeLines="0" w:after="0" w:afterLines="0"/>
        <w:jc w:val="left"/>
        <w:rPr>
          <w:rFonts w:hint="eastAsia"/>
          <w:b w:val="0"/>
          <w:bCs w:val="0"/>
          <w:i w:val="0"/>
          <w:iCs w:val="0"/>
          <w:sz w:val="20"/>
          <w:szCs w:val="20"/>
          <w:lang w:val="en-US" w:eastAsia="zh-CN"/>
        </w:rPr>
      </w:pPr>
      <w:r>
        <w:rPr>
          <w:rFonts w:hint="eastAsia" w:cs="Times New Roman"/>
          <w:b/>
          <w:bCs/>
          <w:sz w:val="20"/>
          <w:szCs w:val="20"/>
          <w:lang w:val="en-US" w:eastAsia="zh-CN"/>
        </w:rPr>
        <w:t>Proposal 2</w:t>
      </w:r>
      <w:r>
        <w:rPr>
          <w:rFonts w:hint="eastAsia" w:cs="Times New Roman"/>
          <w:sz w:val="20"/>
          <w:szCs w:val="20"/>
          <w:lang w:val="en-US" w:eastAsia="zh-CN"/>
        </w:rPr>
        <w:t>: to define the supported channel bandwidth for NTN Ka-band as in Table 2.2-1 and Table 2.2-2.</w:t>
      </w:r>
    </w:p>
    <w:p>
      <w:pPr>
        <w:autoSpaceDE/>
        <w:autoSpaceDN/>
        <w:adjustRightInd/>
        <w:snapToGrid/>
        <w:spacing w:before="0" w:beforeLines="0" w:after="0" w:afterLines="0" w:line="240" w:lineRule="auto"/>
        <w:jc w:val="left"/>
        <w:rPr>
          <w:rFonts w:hint="eastAsia"/>
          <w:b w:val="0"/>
          <w:bCs w:val="0"/>
          <w:i w:val="0"/>
          <w:iCs w:val="0"/>
          <w:sz w:val="20"/>
          <w:szCs w:val="20"/>
          <w:u w:val="none"/>
          <w:lang w:val="en-US" w:eastAsia="zh-CN"/>
        </w:rPr>
      </w:pPr>
      <w:r>
        <w:rPr>
          <w:rFonts w:hint="eastAsia"/>
          <w:b/>
          <w:bCs/>
          <w:i w:val="0"/>
          <w:iCs w:val="0"/>
          <w:sz w:val="20"/>
          <w:szCs w:val="20"/>
          <w:u w:val="none"/>
          <w:lang w:val="en-US" w:eastAsia="zh-CN"/>
        </w:rPr>
        <w:t>Proposal 3</w:t>
      </w:r>
      <w:r>
        <w:rPr>
          <w:rFonts w:hint="eastAsia"/>
          <w:b w:val="0"/>
          <w:bCs w:val="0"/>
          <w:i w:val="0"/>
          <w:iCs w:val="0"/>
          <w:sz w:val="20"/>
          <w:szCs w:val="20"/>
          <w:u w:val="none"/>
          <w:lang w:val="en-US" w:eastAsia="zh-CN"/>
        </w:rPr>
        <w:t>: to further discuss whether 400MHz channel bandwidth should be optional or not for NTN VSAT UE in Ka-band.</w:t>
      </w:r>
    </w:p>
    <w:p>
      <w:pPr>
        <w:keepNext w:val="0"/>
        <w:keepLines w:val="0"/>
        <w:pageBreakBefore w:val="0"/>
        <w:widowControl w:val="0"/>
        <w:suppressLineNumbers w:val="0"/>
        <w:kinsoku/>
        <w:wordWrap/>
        <w:topLinePunct w:val="0"/>
        <w:bidi w:val="0"/>
        <w:snapToGrid/>
        <w:spacing w:before="0" w:beforeLines="0" w:after="0" w:afterLines="0"/>
        <w:jc w:val="left"/>
        <w:rPr>
          <w:rFonts w:hint="default"/>
          <w:b w:val="0"/>
          <w:bCs w:val="0"/>
          <w:i w:val="0"/>
          <w:iCs w:val="0"/>
          <w:sz w:val="20"/>
          <w:szCs w:val="20"/>
          <w:u w:val="none"/>
          <w:lang w:val="en-US" w:eastAsia="zh-CN"/>
        </w:rPr>
      </w:pPr>
      <w:r>
        <w:rPr>
          <w:rFonts w:hint="eastAsia"/>
          <w:b/>
          <w:bCs/>
          <w:i w:val="0"/>
          <w:iCs w:val="0"/>
          <w:sz w:val="20"/>
          <w:szCs w:val="20"/>
          <w:u w:val="none"/>
          <w:lang w:val="en-US" w:eastAsia="zh-CN"/>
        </w:rPr>
        <w:t>Proposal 4:</w:t>
      </w:r>
      <w:r>
        <w:rPr>
          <w:rFonts w:hint="eastAsia"/>
          <w:b w:val="0"/>
          <w:bCs w:val="0"/>
          <w:i w:val="0"/>
          <w:iCs w:val="0"/>
          <w:sz w:val="20"/>
          <w:szCs w:val="20"/>
          <w:u w:val="none"/>
          <w:lang w:val="en-US" w:eastAsia="zh-CN"/>
        </w:rPr>
        <w:t xml:space="preserve"> to reuse the same spectral utilization requirement of FR2 TN system for NTN Ka-band.</w:t>
      </w:r>
    </w:p>
    <w:p>
      <w:pPr>
        <w:autoSpaceDE/>
        <w:autoSpaceDN/>
        <w:adjustRightInd/>
        <w:snapToGrid/>
        <w:spacing w:before="0" w:beforeLines="-2147483648" w:after="0" w:afterLines="-2147483648" w:line="240" w:lineRule="auto"/>
        <w:jc w:val="left"/>
        <w:rPr>
          <w:rFonts w:hint="default"/>
          <w:b w:val="0"/>
          <w:bCs w:val="0"/>
          <w:i w:val="0"/>
          <w:iCs w:val="0"/>
          <w:lang w:val="en-US" w:eastAsia="zh-CN"/>
        </w:rPr>
      </w:pPr>
      <w:r>
        <w:rPr>
          <w:rFonts w:hint="eastAsia"/>
          <w:b/>
          <w:bCs/>
          <w:i w:val="0"/>
          <w:iCs w:val="0"/>
          <w:lang w:val="en-US" w:eastAsia="zh-CN"/>
        </w:rPr>
        <w:t>Proposal 5:</w:t>
      </w:r>
      <w:r>
        <w:rPr>
          <w:rFonts w:hint="eastAsia"/>
          <w:b w:val="0"/>
          <w:bCs w:val="0"/>
          <w:i w:val="0"/>
          <w:iCs w:val="0"/>
          <w:lang w:val="en-US" w:eastAsia="zh-CN"/>
        </w:rPr>
        <w:t xml:space="preserve"> to use the same channel raster for n1024 and the NR-ARFCN in the Table 2.4-1 and GSCN in Table 2.4-2.</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RP-222654</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Core part: NR NTN (Non-Terrestrial Networks) enhancements</w:t>
      </w:r>
      <w:r>
        <w:rPr>
          <w:rFonts w:hint="eastAsia" w:cs="Times New Roman"/>
          <w:sz w:val="20"/>
          <w:szCs w:val="20"/>
          <w:highlight w:val="none"/>
          <w:lang w:val="en-US" w:eastAsia="zh-CN"/>
        </w:rPr>
        <w:t>, Thales, Approved.</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3A4C94"/>
    <w:rsid w:val="01442D89"/>
    <w:rsid w:val="01522256"/>
    <w:rsid w:val="01594895"/>
    <w:rsid w:val="015C06BF"/>
    <w:rsid w:val="015F18F2"/>
    <w:rsid w:val="015F5FA3"/>
    <w:rsid w:val="016800B9"/>
    <w:rsid w:val="017059E0"/>
    <w:rsid w:val="0177679C"/>
    <w:rsid w:val="01791D2E"/>
    <w:rsid w:val="01821D8F"/>
    <w:rsid w:val="018C2266"/>
    <w:rsid w:val="018C3642"/>
    <w:rsid w:val="018D7DCE"/>
    <w:rsid w:val="0195201D"/>
    <w:rsid w:val="01994276"/>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8292F"/>
    <w:rsid w:val="023A0A2B"/>
    <w:rsid w:val="023E7088"/>
    <w:rsid w:val="0240545F"/>
    <w:rsid w:val="024C13AB"/>
    <w:rsid w:val="02532AA9"/>
    <w:rsid w:val="025732DD"/>
    <w:rsid w:val="025C0F66"/>
    <w:rsid w:val="0262197E"/>
    <w:rsid w:val="027035EC"/>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9743D"/>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CC2223"/>
    <w:rsid w:val="04D66461"/>
    <w:rsid w:val="04E06510"/>
    <w:rsid w:val="051034CD"/>
    <w:rsid w:val="051F43BC"/>
    <w:rsid w:val="051F61A1"/>
    <w:rsid w:val="0522396C"/>
    <w:rsid w:val="052432F7"/>
    <w:rsid w:val="05280A89"/>
    <w:rsid w:val="05367F8C"/>
    <w:rsid w:val="053E1AC2"/>
    <w:rsid w:val="0545651B"/>
    <w:rsid w:val="05583DC1"/>
    <w:rsid w:val="055A77BF"/>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D16BC6"/>
    <w:rsid w:val="05DC2707"/>
    <w:rsid w:val="05E660EA"/>
    <w:rsid w:val="05E73462"/>
    <w:rsid w:val="05EB0F6A"/>
    <w:rsid w:val="05EE3B4E"/>
    <w:rsid w:val="05F6627C"/>
    <w:rsid w:val="05F662C2"/>
    <w:rsid w:val="05FA1213"/>
    <w:rsid w:val="05FF3135"/>
    <w:rsid w:val="060836A6"/>
    <w:rsid w:val="060C5B07"/>
    <w:rsid w:val="060D249E"/>
    <w:rsid w:val="06111076"/>
    <w:rsid w:val="062D742E"/>
    <w:rsid w:val="063F20A9"/>
    <w:rsid w:val="064001EE"/>
    <w:rsid w:val="06474EFD"/>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F542D"/>
    <w:rsid w:val="077F5D16"/>
    <w:rsid w:val="07817B19"/>
    <w:rsid w:val="078B062A"/>
    <w:rsid w:val="078F6FFB"/>
    <w:rsid w:val="07916BE4"/>
    <w:rsid w:val="07A2728D"/>
    <w:rsid w:val="07A80D41"/>
    <w:rsid w:val="07AA3E51"/>
    <w:rsid w:val="07BE51B2"/>
    <w:rsid w:val="07D835FB"/>
    <w:rsid w:val="07DD018B"/>
    <w:rsid w:val="07E014BE"/>
    <w:rsid w:val="07E04AA8"/>
    <w:rsid w:val="07E85751"/>
    <w:rsid w:val="07ED5339"/>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3018"/>
    <w:rsid w:val="08B94847"/>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D3582"/>
    <w:rsid w:val="0B22066E"/>
    <w:rsid w:val="0B2643BE"/>
    <w:rsid w:val="0B2B1908"/>
    <w:rsid w:val="0B2D66EE"/>
    <w:rsid w:val="0B3F2432"/>
    <w:rsid w:val="0B411C01"/>
    <w:rsid w:val="0B4D5218"/>
    <w:rsid w:val="0B5C18DB"/>
    <w:rsid w:val="0B5C42B3"/>
    <w:rsid w:val="0B5F215C"/>
    <w:rsid w:val="0B605DE1"/>
    <w:rsid w:val="0B615169"/>
    <w:rsid w:val="0B622E13"/>
    <w:rsid w:val="0B651A68"/>
    <w:rsid w:val="0B717521"/>
    <w:rsid w:val="0B7B1004"/>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A4387"/>
    <w:rsid w:val="0C9D3F03"/>
    <w:rsid w:val="0CA1546A"/>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6EF9"/>
    <w:rsid w:val="0D1A52C8"/>
    <w:rsid w:val="0D1C1D16"/>
    <w:rsid w:val="0D21615D"/>
    <w:rsid w:val="0D2454BF"/>
    <w:rsid w:val="0D2767B5"/>
    <w:rsid w:val="0D3E327E"/>
    <w:rsid w:val="0D432A3E"/>
    <w:rsid w:val="0D480AA9"/>
    <w:rsid w:val="0D5800C7"/>
    <w:rsid w:val="0D5B6E86"/>
    <w:rsid w:val="0D604B9B"/>
    <w:rsid w:val="0D63712E"/>
    <w:rsid w:val="0D6A353C"/>
    <w:rsid w:val="0D826C81"/>
    <w:rsid w:val="0D904522"/>
    <w:rsid w:val="0D976014"/>
    <w:rsid w:val="0DA060E8"/>
    <w:rsid w:val="0DA21DEB"/>
    <w:rsid w:val="0DA57AAE"/>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17518"/>
    <w:rsid w:val="0E3217E8"/>
    <w:rsid w:val="0E387AA5"/>
    <w:rsid w:val="0E3F0E9A"/>
    <w:rsid w:val="0E400D03"/>
    <w:rsid w:val="0E485C9B"/>
    <w:rsid w:val="0E4D4B22"/>
    <w:rsid w:val="0E5E2B07"/>
    <w:rsid w:val="0E752596"/>
    <w:rsid w:val="0E771E51"/>
    <w:rsid w:val="0E796EA0"/>
    <w:rsid w:val="0E7A2A61"/>
    <w:rsid w:val="0E7C0762"/>
    <w:rsid w:val="0E8118C0"/>
    <w:rsid w:val="0E8A599D"/>
    <w:rsid w:val="0E9A17E3"/>
    <w:rsid w:val="0EA11114"/>
    <w:rsid w:val="0EA35AC0"/>
    <w:rsid w:val="0EB34961"/>
    <w:rsid w:val="0EB9447E"/>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6E81"/>
    <w:rsid w:val="0FA615E1"/>
    <w:rsid w:val="0FAD0019"/>
    <w:rsid w:val="0FAD3299"/>
    <w:rsid w:val="0FAD3F5A"/>
    <w:rsid w:val="0FB11EE4"/>
    <w:rsid w:val="0FB261C9"/>
    <w:rsid w:val="0FB31343"/>
    <w:rsid w:val="0FC12836"/>
    <w:rsid w:val="0FD95333"/>
    <w:rsid w:val="0FEB0378"/>
    <w:rsid w:val="0FEC322B"/>
    <w:rsid w:val="0FEC6EF6"/>
    <w:rsid w:val="10045EE6"/>
    <w:rsid w:val="100C1580"/>
    <w:rsid w:val="100D3B17"/>
    <w:rsid w:val="10154FE6"/>
    <w:rsid w:val="10164BFD"/>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C5735"/>
    <w:rsid w:val="10D679E0"/>
    <w:rsid w:val="10FA45D2"/>
    <w:rsid w:val="11024527"/>
    <w:rsid w:val="110A4489"/>
    <w:rsid w:val="11150F62"/>
    <w:rsid w:val="111A28E5"/>
    <w:rsid w:val="112F54D2"/>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800455"/>
    <w:rsid w:val="11847341"/>
    <w:rsid w:val="11996649"/>
    <w:rsid w:val="11A94C35"/>
    <w:rsid w:val="11AA61BD"/>
    <w:rsid w:val="11AC7561"/>
    <w:rsid w:val="11AE6531"/>
    <w:rsid w:val="11AF439E"/>
    <w:rsid w:val="11B50817"/>
    <w:rsid w:val="11B66269"/>
    <w:rsid w:val="11B95CC7"/>
    <w:rsid w:val="11BA0839"/>
    <w:rsid w:val="11CA3974"/>
    <w:rsid w:val="11D66A42"/>
    <w:rsid w:val="11E4369D"/>
    <w:rsid w:val="11EE4F27"/>
    <w:rsid w:val="11F267E8"/>
    <w:rsid w:val="11F427FC"/>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B2B96"/>
    <w:rsid w:val="164D6264"/>
    <w:rsid w:val="165511E0"/>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408A2"/>
    <w:rsid w:val="177653C5"/>
    <w:rsid w:val="17844C56"/>
    <w:rsid w:val="178A60FC"/>
    <w:rsid w:val="179559A6"/>
    <w:rsid w:val="17957384"/>
    <w:rsid w:val="17A30F12"/>
    <w:rsid w:val="17BA48D6"/>
    <w:rsid w:val="17C0378A"/>
    <w:rsid w:val="17C535A1"/>
    <w:rsid w:val="17CC1D1C"/>
    <w:rsid w:val="17CD4A3A"/>
    <w:rsid w:val="17CD5EE0"/>
    <w:rsid w:val="17D47D7C"/>
    <w:rsid w:val="17D50FE7"/>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B1905"/>
    <w:rsid w:val="18AC724D"/>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8374F4"/>
    <w:rsid w:val="1989194D"/>
    <w:rsid w:val="19894C83"/>
    <w:rsid w:val="19A7296F"/>
    <w:rsid w:val="19B94DE5"/>
    <w:rsid w:val="19BB7983"/>
    <w:rsid w:val="19CA4702"/>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A7E36"/>
    <w:rsid w:val="1B2B1C07"/>
    <w:rsid w:val="1B2F42C3"/>
    <w:rsid w:val="1B324397"/>
    <w:rsid w:val="1B372EB9"/>
    <w:rsid w:val="1B39636C"/>
    <w:rsid w:val="1B40005E"/>
    <w:rsid w:val="1B4268B4"/>
    <w:rsid w:val="1B427936"/>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37D44"/>
    <w:rsid w:val="1CB702E9"/>
    <w:rsid w:val="1CBA5B32"/>
    <w:rsid w:val="1CBE0F85"/>
    <w:rsid w:val="1CBE5026"/>
    <w:rsid w:val="1CCD6D74"/>
    <w:rsid w:val="1CD363DF"/>
    <w:rsid w:val="1CD97139"/>
    <w:rsid w:val="1CE13063"/>
    <w:rsid w:val="1CE2616E"/>
    <w:rsid w:val="1CEB4BB9"/>
    <w:rsid w:val="1CF0171B"/>
    <w:rsid w:val="1CF333A5"/>
    <w:rsid w:val="1D023336"/>
    <w:rsid w:val="1D031DDA"/>
    <w:rsid w:val="1D0B731D"/>
    <w:rsid w:val="1D141C8F"/>
    <w:rsid w:val="1D1D6A68"/>
    <w:rsid w:val="1D1F1D0C"/>
    <w:rsid w:val="1D2054C4"/>
    <w:rsid w:val="1D24658B"/>
    <w:rsid w:val="1D2E2EDD"/>
    <w:rsid w:val="1D2E77E8"/>
    <w:rsid w:val="1D4367AF"/>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DA2DA2"/>
    <w:rsid w:val="1DEC45ED"/>
    <w:rsid w:val="1DF2745E"/>
    <w:rsid w:val="1E093D7D"/>
    <w:rsid w:val="1E1D7E95"/>
    <w:rsid w:val="1E201A27"/>
    <w:rsid w:val="1E224747"/>
    <w:rsid w:val="1E287E58"/>
    <w:rsid w:val="1E304B88"/>
    <w:rsid w:val="1E3E02E7"/>
    <w:rsid w:val="1E6703B7"/>
    <w:rsid w:val="1E680B85"/>
    <w:rsid w:val="1E6B2336"/>
    <w:rsid w:val="1E7845CD"/>
    <w:rsid w:val="1E8028A0"/>
    <w:rsid w:val="1E8B032D"/>
    <w:rsid w:val="1E8B7AD0"/>
    <w:rsid w:val="1E8E3E30"/>
    <w:rsid w:val="1E9D4737"/>
    <w:rsid w:val="1E9D55A8"/>
    <w:rsid w:val="1EA13E87"/>
    <w:rsid w:val="1EA600CF"/>
    <w:rsid w:val="1EAF4E87"/>
    <w:rsid w:val="1EB50D64"/>
    <w:rsid w:val="1EB65A12"/>
    <w:rsid w:val="1EC11B39"/>
    <w:rsid w:val="1EC80437"/>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943BF0"/>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5F74A6"/>
    <w:rsid w:val="22713317"/>
    <w:rsid w:val="227F5037"/>
    <w:rsid w:val="228041D7"/>
    <w:rsid w:val="228A008B"/>
    <w:rsid w:val="228A2082"/>
    <w:rsid w:val="228D63FC"/>
    <w:rsid w:val="229A7E25"/>
    <w:rsid w:val="22A200B5"/>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415924"/>
    <w:rsid w:val="23437735"/>
    <w:rsid w:val="23566DDF"/>
    <w:rsid w:val="23572E7E"/>
    <w:rsid w:val="235924CA"/>
    <w:rsid w:val="23592D87"/>
    <w:rsid w:val="235F162F"/>
    <w:rsid w:val="23673863"/>
    <w:rsid w:val="236A053E"/>
    <w:rsid w:val="236D4F13"/>
    <w:rsid w:val="23746ACD"/>
    <w:rsid w:val="23752F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A5E20"/>
    <w:rsid w:val="249C2676"/>
    <w:rsid w:val="249C6208"/>
    <w:rsid w:val="249E39E8"/>
    <w:rsid w:val="24A20ED0"/>
    <w:rsid w:val="24A34E4A"/>
    <w:rsid w:val="24AC41BF"/>
    <w:rsid w:val="24B631A8"/>
    <w:rsid w:val="24B93780"/>
    <w:rsid w:val="24BD38BA"/>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E0BEA"/>
    <w:rsid w:val="256343AC"/>
    <w:rsid w:val="25771B32"/>
    <w:rsid w:val="257C1A72"/>
    <w:rsid w:val="257F18B5"/>
    <w:rsid w:val="25805FF5"/>
    <w:rsid w:val="25880457"/>
    <w:rsid w:val="258A32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94BA8"/>
    <w:rsid w:val="260A55DA"/>
    <w:rsid w:val="260B255C"/>
    <w:rsid w:val="2611495B"/>
    <w:rsid w:val="2618762A"/>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D1CBA"/>
    <w:rsid w:val="27462901"/>
    <w:rsid w:val="2749419F"/>
    <w:rsid w:val="274A7B1A"/>
    <w:rsid w:val="275439E1"/>
    <w:rsid w:val="275658F1"/>
    <w:rsid w:val="276320D7"/>
    <w:rsid w:val="276F3D3A"/>
    <w:rsid w:val="27744B4E"/>
    <w:rsid w:val="278A6416"/>
    <w:rsid w:val="27907336"/>
    <w:rsid w:val="279408D2"/>
    <w:rsid w:val="279A2ED3"/>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91501A"/>
    <w:rsid w:val="28937E6D"/>
    <w:rsid w:val="28A66523"/>
    <w:rsid w:val="28AD2029"/>
    <w:rsid w:val="28AE4FA7"/>
    <w:rsid w:val="28B220F4"/>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E70523"/>
    <w:rsid w:val="2AF12CDF"/>
    <w:rsid w:val="2AF27DCB"/>
    <w:rsid w:val="2AF92B4F"/>
    <w:rsid w:val="2B0726A6"/>
    <w:rsid w:val="2B0C6B23"/>
    <w:rsid w:val="2B1D6F4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53554"/>
    <w:rsid w:val="2BB44220"/>
    <w:rsid w:val="2BB61EA7"/>
    <w:rsid w:val="2BB644A0"/>
    <w:rsid w:val="2BBA6EF5"/>
    <w:rsid w:val="2BBD5502"/>
    <w:rsid w:val="2BC03979"/>
    <w:rsid w:val="2BC941AF"/>
    <w:rsid w:val="2BDC02CD"/>
    <w:rsid w:val="2BE64A3E"/>
    <w:rsid w:val="2BEC4F7F"/>
    <w:rsid w:val="2BF01DD3"/>
    <w:rsid w:val="2BF51B27"/>
    <w:rsid w:val="2C027101"/>
    <w:rsid w:val="2C047EF1"/>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1066F"/>
    <w:rsid w:val="2C865A05"/>
    <w:rsid w:val="2C8B0557"/>
    <w:rsid w:val="2C9A28D3"/>
    <w:rsid w:val="2CBC4209"/>
    <w:rsid w:val="2CC12D54"/>
    <w:rsid w:val="2CC172A5"/>
    <w:rsid w:val="2CC9742A"/>
    <w:rsid w:val="2CCB3003"/>
    <w:rsid w:val="2CDA4FDA"/>
    <w:rsid w:val="2CDC7091"/>
    <w:rsid w:val="2CE128DC"/>
    <w:rsid w:val="2CE16D71"/>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A02E9C"/>
    <w:rsid w:val="2DBB1852"/>
    <w:rsid w:val="2DBF0C3E"/>
    <w:rsid w:val="2DBF1601"/>
    <w:rsid w:val="2DBF4C3A"/>
    <w:rsid w:val="2DC464AC"/>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6418D"/>
    <w:rsid w:val="32D14A7F"/>
    <w:rsid w:val="32D26AE6"/>
    <w:rsid w:val="32D63E6C"/>
    <w:rsid w:val="32D733FA"/>
    <w:rsid w:val="32DE353D"/>
    <w:rsid w:val="32E148E8"/>
    <w:rsid w:val="32E343F6"/>
    <w:rsid w:val="32E921F0"/>
    <w:rsid w:val="32F76D5D"/>
    <w:rsid w:val="32F86450"/>
    <w:rsid w:val="330244A4"/>
    <w:rsid w:val="330872E8"/>
    <w:rsid w:val="330A7F19"/>
    <w:rsid w:val="330F1E44"/>
    <w:rsid w:val="331747E7"/>
    <w:rsid w:val="331B37C6"/>
    <w:rsid w:val="331C390F"/>
    <w:rsid w:val="333A0536"/>
    <w:rsid w:val="333E0FE1"/>
    <w:rsid w:val="334D7767"/>
    <w:rsid w:val="33610DDA"/>
    <w:rsid w:val="3362171F"/>
    <w:rsid w:val="3366319E"/>
    <w:rsid w:val="336C2B69"/>
    <w:rsid w:val="33767D1F"/>
    <w:rsid w:val="337B405E"/>
    <w:rsid w:val="337F446B"/>
    <w:rsid w:val="338E29B0"/>
    <w:rsid w:val="33924A39"/>
    <w:rsid w:val="339902E6"/>
    <w:rsid w:val="339D35FC"/>
    <w:rsid w:val="33A156DE"/>
    <w:rsid w:val="33B52233"/>
    <w:rsid w:val="33B70359"/>
    <w:rsid w:val="33BA1B32"/>
    <w:rsid w:val="33CB205A"/>
    <w:rsid w:val="33D451B9"/>
    <w:rsid w:val="33D90BAC"/>
    <w:rsid w:val="33E20DF0"/>
    <w:rsid w:val="33E570DD"/>
    <w:rsid w:val="33EE5E44"/>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C154C0"/>
    <w:rsid w:val="35C53118"/>
    <w:rsid w:val="35C7584B"/>
    <w:rsid w:val="35D31DE1"/>
    <w:rsid w:val="35D801CA"/>
    <w:rsid w:val="35DD2AEE"/>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974B4"/>
    <w:rsid w:val="371A5A8E"/>
    <w:rsid w:val="371B03AE"/>
    <w:rsid w:val="371E6151"/>
    <w:rsid w:val="37277663"/>
    <w:rsid w:val="372A07F2"/>
    <w:rsid w:val="37357964"/>
    <w:rsid w:val="373D6F58"/>
    <w:rsid w:val="373F7FE8"/>
    <w:rsid w:val="37446333"/>
    <w:rsid w:val="37446A77"/>
    <w:rsid w:val="374D0B20"/>
    <w:rsid w:val="37557969"/>
    <w:rsid w:val="375D4473"/>
    <w:rsid w:val="37615F3C"/>
    <w:rsid w:val="376B106B"/>
    <w:rsid w:val="377963D6"/>
    <w:rsid w:val="37840F0B"/>
    <w:rsid w:val="378772DD"/>
    <w:rsid w:val="378A731A"/>
    <w:rsid w:val="378D7467"/>
    <w:rsid w:val="378E3617"/>
    <w:rsid w:val="37931A90"/>
    <w:rsid w:val="37A4082B"/>
    <w:rsid w:val="37A4627C"/>
    <w:rsid w:val="37A530D5"/>
    <w:rsid w:val="37A643C8"/>
    <w:rsid w:val="37AE534B"/>
    <w:rsid w:val="37B1214B"/>
    <w:rsid w:val="37B336FE"/>
    <w:rsid w:val="37B5292C"/>
    <w:rsid w:val="37BA6351"/>
    <w:rsid w:val="37C93B72"/>
    <w:rsid w:val="37D644F2"/>
    <w:rsid w:val="37E22653"/>
    <w:rsid w:val="37ED5E3A"/>
    <w:rsid w:val="37EF1B98"/>
    <w:rsid w:val="37F311D3"/>
    <w:rsid w:val="37F7242F"/>
    <w:rsid w:val="37FD1EC6"/>
    <w:rsid w:val="380579FE"/>
    <w:rsid w:val="380661F9"/>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164B6E"/>
    <w:rsid w:val="392B6A4C"/>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616CAD"/>
    <w:rsid w:val="3A711C68"/>
    <w:rsid w:val="3A7927E8"/>
    <w:rsid w:val="3A796E46"/>
    <w:rsid w:val="3A8B3C77"/>
    <w:rsid w:val="3A971F5B"/>
    <w:rsid w:val="3A9A224E"/>
    <w:rsid w:val="3A9C1F8C"/>
    <w:rsid w:val="3A9D2551"/>
    <w:rsid w:val="3AA15A8E"/>
    <w:rsid w:val="3AA35A0C"/>
    <w:rsid w:val="3AA90278"/>
    <w:rsid w:val="3AA97F70"/>
    <w:rsid w:val="3AAC45FD"/>
    <w:rsid w:val="3AB2580E"/>
    <w:rsid w:val="3AB26A14"/>
    <w:rsid w:val="3AB94248"/>
    <w:rsid w:val="3ABE76C3"/>
    <w:rsid w:val="3ABF42F5"/>
    <w:rsid w:val="3ACE7D16"/>
    <w:rsid w:val="3AD73D23"/>
    <w:rsid w:val="3AEE596A"/>
    <w:rsid w:val="3AF932C9"/>
    <w:rsid w:val="3AFD37D0"/>
    <w:rsid w:val="3B016EE9"/>
    <w:rsid w:val="3B075C4E"/>
    <w:rsid w:val="3B0C7A7D"/>
    <w:rsid w:val="3B0D67FF"/>
    <w:rsid w:val="3B0E6B93"/>
    <w:rsid w:val="3B130528"/>
    <w:rsid w:val="3B1703B9"/>
    <w:rsid w:val="3B1B0093"/>
    <w:rsid w:val="3B1F791D"/>
    <w:rsid w:val="3B2356A8"/>
    <w:rsid w:val="3B2908B6"/>
    <w:rsid w:val="3B2D161A"/>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C2663"/>
    <w:rsid w:val="3B9C285E"/>
    <w:rsid w:val="3BA17E84"/>
    <w:rsid w:val="3BA35FC1"/>
    <w:rsid w:val="3BA566FD"/>
    <w:rsid w:val="3BA7008A"/>
    <w:rsid w:val="3BB47D9F"/>
    <w:rsid w:val="3BD039A1"/>
    <w:rsid w:val="3BDE5F43"/>
    <w:rsid w:val="3BE745F7"/>
    <w:rsid w:val="3BE86E03"/>
    <w:rsid w:val="3BF10AAD"/>
    <w:rsid w:val="3BF13FB8"/>
    <w:rsid w:val="3BFA10FC"/>
    <w:rsid w:val="3C032713"/>
    <w:rsid w:val="3C042946"/>
    <w:rsid w:val="3C070D59"/>
    <w:rsid w:val="3C074961"/>
    <w:rsid w:val="3C0E09BE"/>
    <w:rsid w:val="3C0F1954"/>
    <w:rsid w:val="3C1071B6"/>
    <w:rsid w:val="3C1E1E84"/>
    <w:rsid w:val="3C1E391D"/>
    <w:rsid w:val="3C21000D"/>
    <w:rsid w:val="3C237821"/>
    <w:rsid w:val="3C294498"/>
    <w:rsid w:val="3C2A1C6F"/>
    <w:rsid w:val="3C2D5003"/>
    <w:rsid w:val="3C333216"/>
    <w:rsid w:val="3C36018F"/>
    <w:rsid w:val="3C3615E1"/>
    <w:rsid w:val="3C3B0B4B"/>
    <w:rsid w:val="3C3C3ACF"/>
    <w:rsid w:val="3C3D016E"/>
    <w:rsid w:val="3C4864AA"/>
    <w:rsid w:val="3C49796D"/>
    <w:rsid w:val="3C4F7D80"/>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2303B"/>
    <w:rsid w:val="3E583BB7"/>
    <w:rsid w:val="3E5A1D01"/>
    <w:rsid w:val="3E5B12DC"/>
    <w:rsid w:val="3E623E46"/>
    <w:rsid w:val="3E63159D"/>
    <w:rsid w:val="3E667FB0"/>
    <w:rsid w:val="3E680BF1"/>
    <w:rsid w:val="3E780453"/>
    <w:rsid w:val="3E7A1C88"/>
    <w:rsid w:val="3E844725"/>
    <w:rsid w:val="3E8B095A"/>
    <w:rsid w:val="3E8D66A1"/>
    <w:rsid w:val="3E8E6C82"/>
    <w:rsid w:val="3E942719"/>
    <w:rsid w:val="3E943FDD"/>
    <w:rsid w:val="3E9A19C5"/>
    <w:rsid w:val="3E9A7C4E"/>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79EB"/>
    <w:rsid w:val="40372C35"/>
    <w:rsid w:val="403870E4"/>
    <w:rsid w:val="403D7C5C"/>
    <w:rsid w:val="40400533"/>
    <w:rsid w:val="4049754C"/>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74BCF"/>
    <w:rsid w:val="412506DF"/>
    <w:rsid w:val="413B1BAB"/>
    <w:rsid w:val="41434504"/>
    <w:rsid w:val="4149456B"/>
    <w:rsid w:val="414C1126"/>
    <w:rsid w:val="414F41D7"/>
    <w:rsid w:val="414F7876"/>
    <w:rsid w:val="41515CEC"/>
    <w:rsid w:val="41546D5F"/>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C449AF"/>
    <w:rsid w:val="42C5796D"/>
    <w:rsid w:val="42D67001"/>
    <w:rsid w:val="42E06A10"/>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92DF3"/>
    <w:rsid w:val="44F82D0E"/>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5EA2"/>
    <w:rsid w:val="45CA5FF2"/>
    <w:rsid w:val="45E37678"/>
    <w:rsid w:val="45E526A6"/>
    <w:rsid w:val="45E56E31"/>
    <w:rsid w:val="45E66893"/>
    <w:rsid w:val="45E826B2"/>
    <w:rsid w:val="45F4334C"/>
    <w:rsid w:val="460D3781"/>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F3A74"/>
    <w:rsid w:val="480B7A59"/>
    <w:rsid w:val="48111DC2"/>
    <w:rsid w:val="48130AE3"/>
    <w:rsid w:val="481321D9"/>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707759"/>
    <w:rsid w:val="49715E0F"/>
    <w:rsid w:val="497F5591"/>
    <w:rsid w:val="49822E2F"/>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A456B8"/>
    <w:rsid w:val="4AA75186"/>
    <w:rsid w:val="4AAF1B3A"/>
    <w:rsid w:val="4AB113DF"/>
    <w:rsid w:val="4AB75FB2"/>
    <w:rsid w:val="4ABB3CDE"/>
    <w:rsid w:val="4AC4256B"/>
    <w:rsid w:val="4AC860DD"/>
    <w:rsid w:val="4AD162A8"/>
    <w:rsid w:val="4AD25C89"/>
    <w:rsid w:val="4AD768C6"/>
    <w:rsid w:val="4AE0796F"/>
    <w:rsid w:val="4AE30444"/>
    <w:rsid w:val="4AE31B85"/>
    <w:rsid w:val="4AEF0F11"/>
    <w:rsid w:val="4AF902F5"/>
    <w:rsid w:val="4AF94D42"/>
    <w:rsid w:val="4AFE29DE"/>
    <w:rsid w:val="4B0107DC"/>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DF27815"/>
    <w:rsid w:val="4E007E98"/>
    <w:rsid w:val="4E016672"/>
    <w:rsid w:val="4E066F25"/>
    <w:rsid w:val="4E0939E5"/>
    <w:rsid w:val="4E101A20"/>
    <w:rsid w:val="4E176DF3"/>
    <w:rsid w:val="4E1A2F68"/>
    <w:rsid w:val="4E1E7D0E"/>
    <w:rsid w:val="4E210A5C"/>
    <w:rsid w:val="4E396386"/>
    <w:rsid w:val="4E3A2C21"/>
    <w:rsid w:val="4E412A4D"/>
    <w:rsid w:val="4E4221EC"/>
    <w:rsid w:val="4E4475F5"/>
    <w:rsid w:val="4E587463"/>
    <w:rsid w:val="4E5A344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39194F"/>
    <w:rsid w:val="52612620"/>
    <w:rsid w:val="526478E1"/>
    <w:rsid w:val="526A546C"/>
    <w:rsid w:val="52790FD9"/>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47263"/>
    <w:rsid w:val="53112C1D"/>
    <w:rsid w:val="531241BA"/>
    <w:rsid w:val="531304C8"/>
    <w:rsid w:val="53155215"/>
    <w:rsid w:val="531621BA"/>
    <w:rsid w:val="531D0F10"/>
    <w:rsid w:val="53207ABD"/>
    <w:rsid w:val="5327529D"/>
    <w:rsid w:val="53290BFD"/>
    <w:rsid w:val="53293966"/>
    <w:rsid w:val="532C389F"/>
    <w:rsid w:val="532F6301"/>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A14490"/>
    <w:rsid w:val="54A153FA"/>
    <w:rsid w:val="54A80349"/>
    <w:rsid w:val="54AB29C5"/>
    <w:rsid w:val="54AB36A1"/>
    <w:rsid w:val="54B171C4"/>
    <w:rsid w:val="54B61DA8"/>
    <w:rsid w:val="54B62C99"/>
    <w:rsid w:val="54CC47C4"/>
    <w:rsid w:val="54DF688B"/>
    <w:rsid w:val="54E136F7"/>
    <w:rsid w:val="54E95643"/>
    <w:rsid w:val="550E6C32"/>
    <w:rsid w:val="551C2E90"/>
    <w:rsid w:val="552D52C7"/>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A578C3"/>
    <w:rsid w:val="55A63100"/>
    <w:rsid w:val="55AB1B1D"/>
    <w:rsid w:val="55B403DD"/>
    <w:rsid w:val="55B511EE"/>
    <w:rsid w:val="55B85433"/>
    <w:rsid w:val="55C0140E"/>
    <w:rsid w:val="55C529C2"/>
    <w:rsid w:val="55CC27C2"/>
    <w:rsid w:val="55CF48E7"/>
    <w:rsid w:val="55D0342A"/>
    <w:rsid w:val="55D50C9C"/>
    <w:rsid w:val="55D849A1"/>
    <w:rsid w:val="55E26824"/>
    <w:rsid w:val="55E31A15"/>
    <w:rsid w:val="55E5367A"/>
    <w:rsid w:val="55E83D2F"/>
    <w:rsid w:val="55FE6BCF"/>
    <w:rsid w:val="56030BD3"/>
    <w:rsid w:val="560469FC"/>
    <w:rsid w:val="5609174E"/>
    <w:rsid w:val="56214A7B"/>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81DBE"/>
    <w:rsid w:val="56ED5E03"/>
    <w:rsid w:val="56FB0134"/>
    <w:rsid w:val="56FC2339"/>
    <w:rsid w:val="57012351"/>
    <w:rsid w:val="57095761"/>
    <w:rsid w:val="5714042F"/>
    <w:rsid w:val="571777C3"/>
    <w:rsid w:val="571B1F7E"/>
    <w:rsid w:val="571D34AC"/>
    <w:rsid w:val="57292292"/>
    <w:rsid w:val="572A6C17"/>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F7168"/>
    <w:rsid w:val="57B02763"/>
    <w:rsid w:val="57B6547E"/>
    <w:rsid w:val="57BC7C9C"/>
    <w:rsid w:val="57BD351F"/>
    <w:rsid w:val="57BF6387"/>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56C4"/>
    <w:rsid w:val="58B8443B"/>
    <w:rsid w:val="58BC4002"/>
    <w:rsid w:val="58C47A68"/>
    <w:rsid w:val="58C6178A"/>
    <w:rsid w:val="58D720A4"/>
    <w:rsid w:val="58DB456A"/>
    <w:rsid w:val="58E909DD"/>
    <w:rsid w:val="58EB1C90"/>
    <w:rsid w:val="58F57D12"/>
    <w:rsid w:val="58F60AFF"/>
    <w:rsid w:val="58FD7109"/>
    <w:rsid w:val="59094784"/>
    <w:rsid w:val="590C40DA"/>
    <w:rsid w:val="591D7EA3"/>
    <w:rsid w:val="59267EF0"/>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F82FCA"/>
    <w:rsid w:val="5AF8657A"/>
    <w:rsid w:val="5AFE5C3F"/>
    <w:rsid w:val="5B000850"/>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9E50D0"/>
    <w:rsid w:val="5CBF4297"/>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76068"/>
    <w:rsid w:val="616B25D0"/>
    <w:rsid w:val="616C1663"/>
    <w:rsid w:val="616E223F"/>
    <w:rsid w:val="617305C5"/>
    <w:rsid w:val="61751F59"/>
    <w:rsid w:val="617C28AF"/>
    <w:rsid w:val="61843F91"/>
    <w:rsid w:val="618A6058"/>
    <w:rsid w:val="61963257"/>
    <w:rsid w:val="6196670E"/>
    <w:rsid w:val="61972737"/>
    <w:rsid w:val="619C38B4"/>
    <w:rsid w:val="61A4486B"/>
    <w:rsid w:val="61B33DDF"/>
    <w:rsid w:val="61B628DA"/>
    <w:rsid w:val="61BB4A1B"/>
    <w:rsid w:val="61BC23E5"/>
    <w:rsid w:val="61CD3107"/>
    <w:rsid w:val="61D21120"/>
    <w:rsid w:val="61E728F9"/>
    <w:rsid w:val="61F3667F"/>
    <w:rsid w:val="61F43F82"/>
    <w:rsid w:val="61FB110C"/>
    <w:rsid w:val="620B2B74"/>
    <w:rsid w:val="6210415F"/>
    <w:rsid w:val="62185165"/>
    <w:rsid w:val="621D66D4"/>
    <w:rsid w:val="62220209"/>
    <w:rsid w:val="622D780A"/>
    <w:rsid w:val="622E2CF4"/>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F21FD"/>
    <w:rsid w:val="63074CE8"/>
    <w:rsid w:val="630E6127"/>
    <w:rsid w:val="6312640E"/>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C51AD9"/>
    <w:rsid w:val="63C54411"/>
    <w:rsid w:val="63C733FE"/>
    <w:rsid w:val="63CD27C8"/>
    <w:rsid w:val="63CD4C2D"/>
    <w:rsid w:val="63CF2629"/>
    <w:rsid w:val="63D40E51"/>
    <w:rsid w:val="63D85FCA"/>
    <w:rsid w:val="63E263F4"/>
    <w:rsid w:val="63E418C9"/>
    <w:rsid w:val="63FB6EC6"/>
    <w:rsid w:val="63FD7654"/>
    <w:rsid w:val="640C2BB6"/>
    <w:rsid w:val="6411454E"/>
    <w:rsid w:val="641D00EE"/>
    <w:rsid w:val="643F3FFC"/>
    <w:rsid w:val="644A69BC"/>
    <w:rsid w:val="644C372C"/>
    <w:rsid w:val="645B5DC0"/>
    <w:rsid w:val="645D3A6B"/>
    <w:rsid w:val="646A06E2"/>
    <w:rsid w:val="646A37FD"/>
    <w:rsid w:val="646C4EF1"/>
    <w:rsid w:val="646C4FB8"/>
    <w:rsid w:val="64706C6F"/>
    <w:rsid w:val="6471159B"/>
    <w:rsid w:val="647335AC"/>
    <w:rsid w:val="64814078"/>
    <w:rsid w:val="648B777B"/>
    <w:rsid w:val="64937D17"/>
    <w:rsid w:val="6494650D"/>
    <w:rsid w:val="64984C13"/>
    <w:rsid w:val="649A6134"/>
    <w:rsid w:val="649D2569"/>
    <w:rsid w:val="64A157DA"/>
    <w:rsid w:val="64A32650"/>
    <w:rsid w:val="64A51362"/>
    <w:rsid w:val="64A55A03"/>
    <w:rsid w:val="64A62D1B"/>
    <w:rsid w:val="64AD4200"/>
    <w:rsid w:val="64AD7A1B"/>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BC6E17"/>
    <w:rsid w:val="65BD3777"/>
    <w:rsid w:val="65BE5ECC"/>
    <w:rsid w:val="65CB53A1"/>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D087B"/>
    <w:rsid w:val="697D2094"/>
    <w:rsid w:val="69807B1E"/>
    <w:rsid w:val="69A71B52"/>
    <w:rsid w:val="69A7770D"/>
    <w:rsid w:val="69A966F8"/>
    <w:rsid w:val="69AC0B64"/>
    <w:rsid w:val="69B27491"/>
    <w:rsid w:val="69B27C94"/>
    <w:rsid w:val="69BA2288"/>
    <w:rsid w:val="69BB7CE2"/>
    <w:rsid w:val="69D2134C"/>
    <w:rsid w:val="69D537ED"/>
    <w:rsid w:val="69DC3AC1"/>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D0493"/>
    <w:rsid w:val="6BDE54AC"/>
    <w:rsid w:val="6BE068F6"/>
    <w:rsid w:val="6BE072B5"/>
    <w:rsid w:val="6BEC52EB"/>
    <w:rsid w:val="6BF229CE"/>
    <w:rsid w:val="6BF25C39"/>
    <w:rsid w:val="6C017B1C"/>
    <w:rsid w:val="6C06150E"/>
    <w:rsid w:val="6C155F31"/>
    <w:rsid w:val="6C206E21"/>
    <w:rsid w:val="6C263A06"/>
    <w:rsid w:val="6C337BE8"/>
    <w:rsid w:val="6C3A624E"/>
    <w:rsid w:val="6C3F4795"/>
    <w:rsid w:val="6C431738"/>
    <w:rsid w:val="6C442E2D"/>
    <w:rsid w:val="6C4B106D"/>
    <w:rsid w:val="6C505966"/>
    <w:rsid w:val="6C5D04BB"/>
    <w:rsid w:val="6C666C3C"/>
    <w:rsid w:val="6C6833E1"/>
    <w:rsid w:val="6C882F2E"/>
    <w:rsid w:val="6C8E4315"/>
    <w:rsid w:val="6C95615F"/>
    <w:rsid w:val="6CA94419"/>
    <w:rsid w:val="6CB242A2"/>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F5451"/>
    <w:rsid w:val="6D90338E"/>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2138A"/>
    <w:rsid w:val="6E35742E"/>
    <w:rsid w:val="6E376A3A"/>
    <w:rsid w:val="6E3E181B"/>
    <w:rsid w:val="6E3F1C0F"/>
    <w:rsid w:val="6E484191"/>
    <w:rsid w:val="6E4E0EC4"/>
    <w:rsid w:val="6E561494"/>
    <w:rsid w:val="6E567CD0"/>
    <w:rsid w:val="6E633CB5"/>
    <w:rsid w:val="6E651C83"/>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92039"/>
    <w:rsid w:val="700C0460"/>
    <w:rsid w:val="701458A7"/>
    <w:rsid w:val="70152C7C"/>
    <w:rsid w:val="70170F2B"/>
    <w:rsid w:val="701830B7"/>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91094"/>
    <w:rsid w:val="70DB76EF"/>
    <w:rsid w:val="70E47264"/>
    <w:rsid w:val="70F04773"/>
    <w:rsid w:val="710524E2"/>
    <w:rsid w:val="710B03C6"/>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535F8"/>
    <w:rsid w:val="71A84EAE"/>
    <w:rsid w:val="71AE2BD5"/>
    <w:rsid w:val="71AF2F66"/>
    <w:rsid w:val="71B13D7E"/>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75754"/>
    <w:rsid w:val="749D5800"/>
    <w:rsid w:val="74A73312"/>
    <w:rsid w:val="74B06962"/>
    <w:rsid w:val="74B32215"/>
    <w:rsid w:val="74BC7516"/>
    <w:rsid w:val="74C0607C"/>
    <w:rsid w:val="74C264BE"/>
    <w:rsid w:val="74C46840"/>
    <w:rsid w:val="74CC2FE0"/>
    <w:rsid w:val="74D575AA"/>
    <w:rsid w:val="74D71DDE"/>
    <w:rsid w:val="74DA7956"/>
    <w:rsid w:val="74E11F86"/>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B153BA"/>
    <w:rsid w:val="76BE7B18"/>
    <w:rsid w:val="76C72CA0"/>
    <w:rsid w:val="76CB2A8A"/>
    <w:rsid w:val="76D36D32"/>
    <w:rsid w:val="76ED0EF4"/>
    <w:rsid w:val="76F2295F"/>
    <w:rsid w:val="76F50A9F"/>
    <w:rsid w:val="76F56F51"/>
    <w:rsid w:val="76FD2D1D"/>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2A738E"/>
    <w:rsid w:val="78306028"/>
    <w:rsid w:val="78316382"/>
    <w:rsid w:val="78355626"/>
    <w:rsid w:val="78375EBD"/>
    <w:rsid w:val="784151EC"/>
    <w:rsid w:val="784563AF"/>
    <w:rsid w:val="7849196F"/>
    <w:rsid w:val="78591903"/>
    <w:rsid w:val="787659AD"/>
    <w:rsid w:val="7888219B"/>
    <w:rsid w:val="78887070"/>
    <w:rsid w:val="788908C8"/>
    <w:rsid w:val="78993306"/>
    <w:rsid w:val="78A561F3"/>
    <w:rsid w:val="78A953B7"/>
    <w:rsid w:val="78AB3452"/>
    <w:rsid w:val="78B0117B"/>
    <w:rsid w:val="78B91C9F"/>
    <w:rsid w:val="78BC539D"/>
    <w:rsid w:val="78C134B0"/>
    <w:rsid w:val="78C64CC0"/>
    <w:rsid w:val="78C67D14"/>
    <w:rsid w:val="78CD3535"/>
    <w:rsid w:val="78D6474D"/>
    <w:rsid w:val="78D97F0E"/>
    <w:rsid w:val="78DA009A"/>
    <w:rsid w:val="78DC2FA9"/>
    <w:rsid w:val="78DD4939"/>
    <w:rsid w:val="78E062D1"/>
    <w:rsid w:val="78F40C87"/>
    <w:rsid w:val="78F53AD7"/>
    <w:rsid w:val="78F66B5A"/>
    <w:rsid w:val="78FC7FC2"/>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6B650F"/>
    <w:rsid w:val="796E35F2"/>
    <w:rsid w:val="7971290E"/>
    <w:rsid w:val="79762768"/>
    <w:rsid w:val="797951A9"/>
    <w:rsid w:val="798B7390"/>
    <w:rsid w:val="7990174F"/>
    <w:rsid w:val="79A15149"/>
    <w:rsid w:val="79A37CCA"/>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18546A"/>
    <w:rsid w:val="7B1B467F"/>
    <w:rsid w:val="7B1F59AA"/>
    <w:rsid w:val="7B214978"/>
    <w:rsid w:val="7B391012"/>
    <w:rsid w:val="7B4A5781"/>
    <w:rsid w:val="7B4E09BF"/>
    <w:rsid w:val="7B546C0C"/>
    <w:rsid w:val="7B603C7C"/>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F11348"/>
    <w:rsid w:val="7BF542FE"/>
    <w:rsid w:val="7BFF0642"/>
    <w:rsid w:val="7C056E44"/>
    <w:rsid w:val="7C206952"/>
    <w:rsid w:val="7C2D1C60"/>
    <w:rsid w:val="7C3832F5"/>
    <w:rsid w:val="7C42281E"/>
    <w:rsid w:val="7C472DAB"/>
    <w:rsid w:val="7C610C91"/>
    <w:rsid w:val="7C613AEC"/>
    <w:rsid w:val="7C6E7E2C"/>
    <w:rsid w:val="7C734075"/>
    <w:rsid w:val="7C773CA6"/>
    <w:rsid w:val="7C815D2A"/>
    <w:rsid w:val="7C831756"/>
    <w:rsid w:val="7C8C4CAB"/>
    <w:rsid w:val="7C982736"/>
    <w:rsid w:val="7C9A2FA3"/>
    <w:rsid w:val="7C9E5A24"/>
    <w:rsid w:val="7CA3583F"/>
    <w:rsid w:val="7CA61736"/>
    <w:rsid w:val="7CA67728"/>
    <w:rsid w:val="7CB027DF"/>
    <w:rsid w:val="7CB5615D"/>
    <w:rsid w:val="7CB62523"/>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712F31"/>
    <w:rsid w:val="7E750E81"/>
    <w:rsid w:val="7E760C9A"/>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536DE1"/>
    <w:rsid w:val="7F6339F7"/>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2022-09-30T14:59:55Z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